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33F" w:rsidRDefault="00A7733F" w:rsidP="00A7733F">
      <w:pPr>
        <w:spacing w:line="360" w:lineRule="auto"/>
        <w:jc w:val="center"/>
        <w:rPr>
          <w:b/>
          <w:i/>
          <w:sz w:val="36"/>
          <w:szCs w:val="36"/>
        </w:rPr>
      </w:pPr>
      <w:r w:rsidRPr="00B57505">
        <w:rPr>
          <w:b/>
          <w:sz w:val="36"/>
          <w:szCs w:val="36"/>
        </w:rPr>
        <w:t>Euharistia în raport cu viaţa credinciosului</w:t>
      </w:r>
    </w:p>
    <w:p w:rsidR="00A7733F" w:rsidRPr="00B57505" w:rsidRDefault="00A7733F" w:rsidP="00A7733F">
      <w:pPr>
        <w:spacing w:line="360" w:lineRule="auto"/>
        <w:rPr>
          <w:sz w:val="28"/>
          <w:szCs w:val="28"/>
        </w:rPr>
      </w:pPr>
      <w:r w:rsidRPr="00B57505">
        <w:rPr>
          <w:sz w:val="28"/>
          <w:szCs w:val="28"/>
        </w:rPr>
        <w:tab/>
      </w:r>
    </w:p>
    <w:p w:rsidR="00A7733F" w:rsidRPr="00D76FCD" w:rsidRDefault="00A7733F" w:rsidP="00A7733F">
      <w:pPr>
        <w:autoSpaceDE w:val="0"/>
        <w:autoSpaceDN w:val="0"/>
        <w:adjustRightInd w:val="0"/>
        <w:spacing w:line="360" w:lineRule="auto"/>
        <w:jc w:val="both"/>
      </w:pPr>
      <w:r w:rsidRPr="00B57505">
        <w:rPr>
          <w:sz w:val="28"/>
          <w:szCs w:val="28"/>
        </w:rPr>
        <w:tab/>
      </w:r>
      <w:r w:rsidRPr="00A14726">
        <w:rPr>
          <w:sz w:val="28"/>
          <w:szCs w:val="28"/>
        </w:rPr>
        <w:tab/>
      </w:r>
      <w:r w:rsidRPr="00D76FCD">
        <w:t>Sfânta Euharistie este taina în care, sub chipul pâinii şi al vinului, se împărtăşeşte credincioşilor însuşi Trupul şi Sângele Domnului nostru Iisus Hristos, spre iertarea păcatelor şi spre viaţa de veci; este prelungirea jertfei reale de pe Golgota, adusă de Mântuitorul pentru mântuirea lumii şi reprodusă sacramental de către Biserică, prin slujitorii ei. Cuvântul „euharistie" e de origine greacă şi vine de la verbul care înseamnă „a mulţumi", folosit de Mântuitorul Care, instituind această Sfântă Taină, mai întâi a mulţumit lui Dumnezeu şi după aceea a binecuvântat pâinea pe care, frângând-o, a dat-o Sfinţilor Apostoli zicând: „Luaţi, mâncaţi, acesta este Trupul Meu. Şi luând paharul şi mulţumind, le-a dat zicând: Beţi dintru acesta toţi, că acesta este Sângele Meu, al Legii celei noi, care pentru mulţi se varsă spre iertarea păcatelor"(Matei 26, 26-2S)</w:t>
      </w:r>
      <w:r w:rsidRPr="00D76FCD">
        <w:rPr>
          <w:rStyle w:val="FootnoteReference"/>
        </w:rPr>
        <w:footnoteReference w:id="2"/>
      </w:r>
      <w:r w:rsidRPr="00D76FCD">
        <w:t xml:space="preserve">. </w:t>
      </w:r>
      <w:r w:rsidRPr="00D76FCD">
        <w:tab/>
      </w:r>
    </w:p>
    <w:p w:rsidR="00A7733F" w:rsidRPr="00D76FCD" w:rsidRDefault="00A7733F" w:rsidP="00A7733F">
      <w:pPr>
        <w:autoSpaceDE w:val="0"/>
        <w:autoSpaceDN w:val="0"/>
        <w:adjustRightInd w:val="0"/>
        <w:spacing w:line="360" w:lineRule="auto"/>
        <w:jc w:val="both"/>
      </w:pPr>
      <w:r w:rsidRPr="00D76FCD">
        <w:tab/>
        <w:t>Sfânta Euharistie este numită Taină deoarece, aşa cum se ştie, acest termen este traducerea substantivului grecesc „</w:t>
      </w:r>
      <w:r w:rsidRPr="00D76FCD">
        <w:rPr>
          <w:iCs/>
        </w:rPr>
        <w:t>misterion</w:t>
      </w:r>
      <w:r w:rsidRPr="00D76FCD">
        <w:t xml:space="preserve">" care înseamnă lucru tăinuit, secret, ascuns, ceea ce nu poate fi cuprins cu mintea, învăţătură tainică, în scrierile tardive ale Vechiului Testament </w:t>
      </w:r>
      <w:r w:rsidRPr="00D76FCD">
        <w:rPr>
          <w:iCs/>
        </w:rPr>
        <w:t xml:space="preserve">(Tobit, Iudit, Înţelepciunea lui Solomon, Înţelepciunea lui Iisus Sirah) </w:t>
      </w:r>
      <w:r w:rsidRPr="00D76FCD">
        <w:t xml:space="preserve">şi în Noul Testament termenul „misterion" (în ebraică - </w:t>
      </w:r>
      <w:r w:rsidRPr="00D76FCD">
        <w:rPr>
          <w:iCs/>
        </w:rPr>
        <w:t xml:space="preserve">sod) </w:t>
      </w:r>
      <w:r w:rsidRPr="00D76FCD">
        <w:t>se referă mai ales la planul lui Dumnezeu de mântuire a lumii (Romani 16, 25-26; I Cor. 2, 7-9). Planul dumnezeiesc de mântuire s-a realizat deplin în Iisus Hristos, Care este prin excelenţă „</w:t>
      </w:r>
      <w:r w:rsidRPr="00D76FCD">
        <w:rPr>
          <w:i/>
          <w:iCs/>
        </w:rPr>
        <w:t>Taina lui Dumnezeu –Tatăl</w:t>
      </w:r>
      <w:r w:rsidRPr="00D76FCD">
        <w:rPr>
          <w:iCs/>
        </w:rPr>
        <w:t xml:space="preserve">” </w:t>
      </w:r>
      <w:r w:rsidRPr="00D76FCD">
        <w:t>(Coloseni 2, 2), „</w:t>
      </w:r>
      <w:r w:rsidRPr="00D76FCD">
        <w:rPr>
          <w:i/>
        </w:rPr>
        <w:t>Taina cea ascunsă din veacuri şi din neamuri" care „acum s-a arătat sfinţilor săi</w:t>
      </w:r>
      <w:r w:rsidRPr="00D76FCD">
        <w:t>" (Coloseni 1,26; Efeseni 3, 4-5).</w:t>
      </w:r>
    </w:p>
    <w:p w:rsidR="00A7733F" w:rsidRPr="00D76FCD" w:rsidRDefault="00A7733F" w:rsidP="00A7733F">
      <w:pPr>
        <w:autoSpaceDE w:val="0"/>
        <w:autoSpaceDN w:val="0"/>
        <w:adjustRightInd w:val="0"/>
        <w:spacing w:line="360" w:lineRule="auto"/>
        <w:jc w:val="both"/>
      </w:pPr>
      <w:r w:rsidRPr="00D76FCD">
        <w:tab/>
        <w:t>Apostolilor li s-a dat cunoaşterea „</w:t>
      </w:r>
      <w:r w:rsidRPr="00D76FCD">
        <w:rPr>
          <w:i/>
        </w:rPr>
        <w:t>Tainelor împărăţiei lui Dumnezeu</w:t>
      </w:r>
      <w:r w:rsidRPr="00D76FCD">
        <w:t>" (Marcu 4, 11 şi locurile paralele)</w:t>
      </w:r>
      <w:r w:rsidRPr="00D76FCD">
        <w:rPr>
          <w:rStyle w:val="FootnoteReference"/>
          <w:lang w:val="fi-FI"/>
        </w:rPr>
        <w:footnoteReference w:id="3"/>
      </w:r>
      <w:r w:rsidRPr="00D76FCD">
        <w:t>. Aşadar, Sfinţii Apostoli sunt mărturii prezente la momentul instituirii şi tot ei au fost cei dintâi primitori ai ei şi împlinitori ai testamentului Mântuitorului: "</w:t>
      </w:r>
      <w:r w:rsidRPr="00D76FCD">
        <w:rPr>
          <w:i/>
        </w:rPr>
        <w:t>Aceasta să o faceţi spre pomenirea Mea</w:t>
      </w:r>
      <w:r w:rsidRPr="00D76FCD">
        <w:t xml:space="preserve">."(Luca </w:t>
      </w:r>
      <w:r w:rsidRPr="00D76FCD">
        <w:rPr>
          <w:iCs/>
        </w:rPr>
        <w:t xml:space="preserve">22, </w:t>
      </w:r>
      <w:r w:rsidRPr="00D76FCD">
        <w:t>19).</w:t>
      </w:r>
    </w:p>
    <w:p w:rsidR="00A7733F" w:rsidRPr="00D76FCD" w:rsidRDefault="00A7733F" w:rsidP="00A7733F">
      <w:pPr>
        <w:autoSpaceDE w:val="0"/>
        <w:autoSpaceDN w:val="0"/>
        <w:adjustRightInd w:val="0"/>
        <w:spacing w:line="360" w:lineRule="auto"/>
        <w:jc w:val="both"/>
        <w:rPr>
          <w:lang w:val="fr-FR"/>
        </w:rPr>
      </w:pPr>
      <w:r w:rsidRPr="00D76FCD">
        <w:tab/>
        <w:t>Sfânta împărtăşanie nu numai că a fost aşezată de Mântuitorul ca Taină, ci El a binevoit să-i şi pregătească pe oameni pentru primirea ei.</w:t>
      </w:r>
      <w:r w:rsidRPr="00D76FCD">
        <w:rPr>
          <w:rStyle w:val="FootnoteReference"/>
        </w:rPr>
        <w:footnoteReference w:id="4"/>
      </w:r>
      <w:r w:rsidRPr="00D76FCD">
        <w:t xml:space="preserve"> Astfel, Domnul, după ce a săturat în pustie, în chip minunat, cinci mii de oameni cu cinci pâini şi doi peşti, a ţinut o cuvântare despre </w:t>
      </w:r>
      <w:r w:rsidRPr="00D76FCD">
        <w:rPr>
          <w:bCs/>
          <w:iCs/>
        </w:rPr>
        <w:t>pâinea vieţii</w:t>
      </w:r>
      <w:r w:rsidRPr="00D76FCD">
        <w:rPr>
          <w:iCs/>
        </w:rPr>
        <w:t xml:space="preserve"> </w:t>
      </w:r>
      <w:r w:rsidRPr="00D76FCD">
        <w:t xml:space="preserve">şi despre necesitatea absolută a împărtăşirii de această Taină, în folosul </w:t>
      </w:r>
      <w:r w:rsidRPr="00D76FCD">
        <w:lastRenderedPageBreak/>
        <w:t>mântuirii: „</w:t>
      </w:r>
      <w:r w:rsidRPr="00D76FCD">
        <w:rPr>
          <w:i/>
        </w:rPr>
        <w:t>Eu sunt pâinea vieţii; cel ce crede în Mine are viaţă veşnică ... Eu sunt pâinea cea vie care s-a pogorât din cer. Cine mănâncă din pâinea aceasta va fi viu în veci. Iar pâinea pe care Eu o voi da pentru viaţa lumii este Trupul Meu ... Adevărat, adevărat zic vouă, dacă nu veţi mânca Trupul Fiului Omului şi nu veţi bea Sângele Lui, nu veţi avea viaţă în voi. Cel ce mănâncă Trupul Meu şi bea Sângele Meu are viaţă veşnică, şi Eu îl voi învia în ziua cea de apoi ...</w:t>
      </w:r>
      <w:r w:rsidRPr="00D76FCD">
        <w:t xml:space="preserve">" </w:t>
      </w:r>
      <w:r>
        <w:rPr>
          <w:rStyle w:val="FootnoteReference"/>
        </w:rPr>
        <w:footnoteReference w:id="5"/>
      </w:r>
    </w:p>
    <w:p w:rsidR="00A7733F" w:rsidRPr="00D76FCD" w:rsidRDefault="00A7733F" w:rsidP="00A7733F">
      <w:pPr>
        <w:autoSpaceDE w:val="0"/>
        <w:autoSpaceDN w:val="0"/>
        <w:adjustRightInd w:val="0"/>
        <w:spacing w:line="360" w:lineRule="auto"/>
        <w:jc w:val="both"/>
        <w:rPr>
          <w:lang w:val="fr-FR"/>
        </w:rPr>
      </w:pPr>
      <w:r w:rsidRPr="00D76FCD">
        <w:rPr>
          <w:lang w:val="fr-FR"/>
        </w:rPr>
        <w:tab/>
        <w:t>În aceste cuvinte, Mântuitorul exprimă destul de clar trebuinţa pentru oameni de a se împărtăşi cu Trupul şi cu Sângele Său, ca să poată moşteni viaţa de veci.</w:t>
      </w:r>
    </w:p>
    <w:p w:rsidR="00A7733F" w:rsidRPr="00D76FCD" w:rsidRDefault="00A7733F" w:rsidP="00A7733F">
      <w:pPr>
        <w:autoSpaceDE w:val="0"/>
        <w:autoSpaceDN w:val="0"/>
        <w:adjustRightInd w:val="0"/>
        <w:spacing w:line="360" w:lineRule="auto"/>
        <w:jc w:val="both"/>
        <w:rPr>
          <w:lang w:val="fr-FR"/>
        </w:rPr>
      </w:pPr>
      <w:r w:rsidRPr="00D76FCD">
        <w:rPr>
          <w:lang w:val="fr-FR"/>
        </w:rPr>
        <w:tab/>
        <w:t>La Cina Cea de Taină, adică cu o zi înainte de Pastele iudaic, şi chiar în noaptea în care avea să fie prins şi târât la patimi, Mântuitorul a instituit înfricoşătoarea Taină a Sfintei împărtăşanii. După istorisirea Sfântului Apostol Matei lucrurile s-au petrecut astfel: „</w:t>
      </w:r>
      <w:r w:rsidRPr="00D76FCD">
        <w:rPr>
          <w:i/>
          <w:lang w:val="fr-FR"/>
        </w:rPr>
        <w:t>Iar pe când mâncau ei, Iisus, luând pâine şi binecuvântând, a frânt şi, dând ucenicilor, a zis : "Luaţi, mâncaţi, acesta este trupul Meu. Şi luând paharul şi mulţumind, le-a dat zicând : Beţi dintru acesta toţi. Că acesta este sângele Meu, al Legii celei noi, care pentru mulţi se varsă spre iertarea păcatelor.</w:t>
      </w:r>
      <w:r w:rsidRPr="00D76FCD">
        <w:rPr>
          <w:lang w:val="fr-FR"/>
        </w:rPr>
        <w:t xml:space="preserve">" </w:t>
      </w:r>
      <w:r>
        <w:rPr>
          <w:rStyle w:val="FootnoteReference"/>
          <w:lang w:val="fr-FR"/>
        </w:rPr>
        <w:footnoteReference w:id="6"/>
      </w:r>
      <w:r w:rsidRPr="00D76FCD">
        <w:rPr>
          <w:lang w:val="fr-FR"/>
        </w:rPr>
        <w:t>Aproape cu aceleaşi cuvinte istorisesc evenimentul şi ceilalţi doi sinoptici (Marcu 14, 22-24; Luca 22, 17-20), precum şi Sfântul Apostol Pavel (I Cor. 11, 23-25).</w:t>
      </w:r>
    </w:p>
    <w:p w:rsidR="00A7733F" w:rsidRPr="00351EC7" w:rsidRDefault="00A7733F" w:rsidP="00A7733F">
      <w:pPr>
        <w:autoSpaceDE w:val="0"/>
        <w:autoSpaceDN w:val="0"/>
        <w:adjustRightInd w:val="0"/>
        <w:spacing w:line="360" w:lineRule="auto"/>
        <w:jc w:val="both"/>
        <w:rPr>
          <w:lang w:val="fr-FR"/>
        </w:rPr>
      </w:pPr>
      <w:r w:rsidRPr="00D76FCD">
        <w:rPr>
          <w:lang w:val="fr-FR"/>
        </w:rPr>
        <w:tab/>
        <w:t>Mântuitorul Hristos nu numai că a săvârşit El însuşi această Taină, dar a şi poruncit săvârşirea ei până la Parusie: „</w:t>
      </w:r>
      <w:r w:rsidRPr="00D76FCD">
        <w:rPr>
          <w:i/>
          <w:lang w:val="fr-FR"/>
        </w:rPr>
        <w:t>Aceasta să o faceţi spre pomenirea Mea</w:t>
      </w:r>
      <w:r w:rsidRPr="00D76FCD">
        <w:rPr>
          <w:lang w:val="fr-FR"/>
        </w:rPr>
        <w:t>"</w:t>
      </w:r>
      <w:r>
        <w:rPr>
          <w:rStyle w:val="FootnoteReference"/>
          <w:lang w:val="fr-FR"/>
        </w:rPr>
        <w:footnoteReference w:id="7"/>
      </w:r>
      <w:r w:rsidRPr="00D76FCD">
        <w:rPr>
          <w:lang w:val="fr-FR"/>
        </w:rPr>
        <w:t>; „</w:t>
      </w:r>
      <w:r w:rsidRPr="00D76FCD">
        <w:rPr>
          <w:i/>
          <w:lang w:val="fr-FR"/>
        </w:rPr>
        <w:t>Că ori de câte ori veţi mânca această pâine şi veţi bea acest pahar, moartea Domnului vestiţi până când va veni.</w:t>
      </w:r>
      <w:r w:rsidRPr="00D76FCD">
        <w:rPr>
          <w:lang w:val="fr-FR"/>
        </w:rPr>
        <w:t>"</w:t>
      </w:r>
      <w:r>
        <w:rPr>
          <w:rStyle w:val="FootnoteReference"/>
          <w:lang w:val="fr-FR"/>
        </w:rPr>
        <w:footnoteReference w:id="8"/>
      </w:r>
      <w:r w:rsidRPr="00D76FCD">
        <w:rPr>
          <w:lang w:val="fr-FR"/>
        </w:rPr>
        <w:t xml:space="preserve"> Această poruncă a fost urmată întocmai de Sfinţii Apostoli şi de Biserica primară. </w:t>
      </w:r>
      <w:r w:rsidRPr="00351EC7">
        <w:rPr>
          <w:lang w:val="fr-FR"/>
        </w:rPr>
        <w:t>(Faptele Apostolilor 2, 42; 46; 10, 7, 11; I Cor 10, 16-17; 11, 23)</w:t>
      </w:r>
      <w:r w:rsidRPr="00D76FCD">
        <w:rPr>
          <w:rStyle w:val="FootnoteReference"/>
          <w:lang w:val="nb-NO"/>
        </w:rPr>
        <w:footnoteReference w:id="9"/>
      </w:r>
    </w:p>
    <w:p w:rsidR="00A7733F" w:rsidRPr="00D76FCD" w:rsidRDefault="00A7733F" w:rsidP="00A7733F">
      <w:pPr>
        <w:autoSpaceDE w:val="0"/>
        <w:autoSpaceDN w:val="0"/>
        <w:adjustRightInd w:val="0"/>
        <w:spacing w:line="360" w:lineRule="auto"/>
        <w:jc w:val="both"/>
      </w:pPr>
      <w:r w:rsidRPr="00351EC7">
        <w:rPr>
          <w:lang w:val="fr-FR"/>
        </w:rPr>
        <w:tab/>
      </w:r>
      <w:r w:rsidRPr="00D76FCD">
        <w:t xml:space="preserve">Sfânta Euharistie uneşte în chip tainic pe credincioşi cu Hristos, hrănindu-le şi desăvârşindu-le viaţa spirituală. </w:t>
      </w:r>
      <w:r w:rsidRPr="00D76FCD">
        <w:rPr>
          <w:lang w:val="fr-FR"/>
        </w:rPr>
        <w:t>Ea este pentru suflet ceea ce este hrana materială pentru trup. „</w:t>
      </w:r>
      <w:r w:rsidRPr="00D76FCD">
        <w:rPr>
          <w:i/>
          <w:lang w:val="fr-FR"/>
        </w:rPr>
        <w:t>Trupul Meu este adevărată mâncare, şi Sângele Meu, adevărată băutură</w:t>
      </w:r>
      <w:r w:rsidRPr="00D76FCD">
        <w:rPr>
          <w:lang w:val="fr-FR"/>
        </w:rPr>
        <w:t xml:space="preserve">" </w:t>
      </w:r>
      <w:r>
        <w:rPr>
          <w:rStyle w:val="FootnoteReference"/>
          <w:lang w:val="fr-FR"/>
        </w:rPr>
        <w:footnoteReference w:id="10"/>
      </w:r>
      <w:r>
        <w:rPr>
          <w:lang w:val="fr-FR"/>
        </w:rPr>
        <w:t>.</w:t>
      </w:r>
      <w:r w:rsidRPr="00D76FCD">
        <w:rPr>
          <w:lang w:val="fr-FR"/>
        </w:rPr>
        <w:t>Dacă hrana materială transformă trupul în care intră, Sfânta Euharistie schimbă, desăvârşind întreaga fiinţă a celui ce o primeşte cu vrednicie, făcându-1 asemenea cu Hristos, adică „părtaş dumnezeieştii firi" (II Petru 1,14).</w:t>
      </w:r>
      <w:r w:rsidRPr="00D76FCD">
        <w:rPr>
          <w:rStyle w:val="FootnoteReference"/>
          <w:lang w:val="fr-FR"/>
        </w:rPr>
        <w:footnoteReference w:id="11"/>
      </w:r>
      <w:r w:rsidRPr="00D76FCD">
        <w:rPr>
          <w:lang w:val="fr-FR"/>
        </w:rPr>
        <w:t xml:space="preserve"> </w:t>
      </w:r>
      <w:r w:rsidRPr="00D76FCD">
        <w:rPr>
          <w:lang w:val="fr-FR"/>
        </w:rPr>
        <w:tab/>
        <w:t>Lucrarea divină a Euharistiei este aceea a îndumnezeirii omului, precum spune Sfântul Atanasie: „</w:t>
      </w:r>
      <w:r w:rsidRPr="00D76FCD">
        <w:rPr>
          <w:i/>
          <w:lang w:val="fr-FR"/>
        </w:rPr>
        <w:t xml:space="preserve">Logosul S-a făcut om, pentru ca noi să fim </w:t>
      </w:r>
      <w:r w:rsidRPr="00D76FCD">
        <w:rPr>
          <w:i/>
          <w:lang w:val="fr-FR"/>
        </w:rPr>
        <w:lastRenderedPageBreak/>
        <w:t>îndumnezeiţi</w:t>
      </w:r>
      <w:r w:rsidRPr="00D76FCD">
        <w:rPr>
          <w:lang w:val="fr-FR"/>
        </w:rPr>
        <w:t xml:space="preserve">". Pentru că ne dă Trupul şi Sângele Său cu putere dumnezeiască, împărtăşania este unul din mijloacele de obţinere sau, mai degrabă, ale procesului de asimilare a nemuririi. În acest înţeles, Sfântul Ignatie Teoforul numeşte Sfânta Euharistie </w:t>
      </w:r>
      <w:r w:rsidRPr="00D76FCD">
        <w:rPr>
          <w:bCs/>
          <w:lang w:val="fr-FR"/>
        </w:rPr>
        <w:t>„</w:t>
      </w:r>
      <w:r w:rsidRPr="00D76FCD">
        <w:rPr>
          <w:bCs/>
          <w:i/>
          <w:lang w:val="fr-FR"/>
        </w:rPr>
        <w:t>doctoria nemuririi</w:t>
      </w:r>
      <w:r w:rsidRPr="00D76FCD">
        <w:rPr>
          <w:bCs/>
          <w:lang w:val="fr-FR"/>
        </w:rPr>
        <w:t>"</w:t>
      </w:r>
      <w:r w:rsidRPr="00D76FCD">
        <w:rPr>
          <w:lang w:val="fr-FR"/>
        </w:rPr>
        <w:t>, iar Sfântul Grigorie de Nyssa vorbeşte despre pătrunderea Logosului în toţi credincioşii prin Euharistie în vederea nemuririi.</w:t>
      </w:r>
      <w:r w:rsidRPr="00D76FCD">
        <w:rPr>
          <w:rStyle w:val="FootnoteReference"/>
          <w:lang w:val="fr-FR"/>
        </w:rPr>
        <w:footnoteReference w:id="12"/>
      </w:r>
    </w:p>
    <w:p w:rsidR="00A7733F" w:rsidRPr="00D76FCD" w:rsidRDefault="00A7733F" w:rsidP="00A7733F">
      <w:pPr>
        <w:autoSpaceDE w:val="0"/>
        <w:autoSpaceDN w:val="0"/>
        <w:adjustRightInd w:val="0"/>
        <w:spacing w:line="360" w:lineRule="auto"/>
        <w:jc w:val="both"/>
        <w:rPr>
          <w:lang w:val="fr-FR"/>
        </w:rPr>
      </w:pPr>
      <w:r w:rsidRPr="00D76FCD">
        <w:rPr>
          <w:lang w:val="fr-FR"/>
        </w:rPr>
        <w:tab/>
        <w:t>Astfel că puterea dumnezeiască din Euharistie nu se opreşte la graniţa morţii, ci continuă să lucreze prin suflet</w:t>
      </w:r>
      <w:r w:rsidRPr="00D76FCD">
        <w:rPr>
          <w:rStyle w:val="FootnoteReference"/>
          <w:lang w:val="fr-FR"/>
        </w:rPr>
        <w:footnoteReference w:id="13"/>
      </w:r>
      <w:r w:rsidRPr="00D76FCD">
        <w:rPr>
          <w:lang w:val="fr-FR"/>
        </w:rPr>
        <w:t xml:space="preserve">. Sfântul Ioan Gură de Aur spune că sufletele celor care s-au împărtăşit mai înainte de moartea trupului sunt ridicate la cer de îngeri, pentru Sfânta Euharistie. De aceea sufletele credincioşilor care au murit nu sunt separate de Biserică. Ele sunt membre ale lui Hristos. </w:t>
      </w:r>
      <w:r w:rsidRPr="00D76FCD">
        <w:rPr>
          <w:bCs/>
          <w:lang w:val="fr-FR"/>
        </w:rPr>
        <w:t>Euharistia este cea care ne trece pragul veşniciei şi ne procură vieţuirea cu Hristos cel întrupat şi prezent în Trupul mistic</w:t>
      </w:r>
      <w:r w:rsidRPr="00D76FCD">
        <w:rPr>
          <w:rStyle w:val="FootnoteReference"/>
          <w:bCs/>
          <w:lang w:val="fr-FR"/>
        </w:rPr>
        <w:footnoteReference w:id="14"/>
      </w:r>
      <w:r w:rsidRPr="00D76FCD">
        <w:rPr>
          <w:lang w:val="fr-FR"/>
        </w:rPr>
        <w:t>. Despre aceasta vorbeşte şi Fericitul Augustin astfel: „</w:t>
      </w:r>
      <w:r w:rsidRPr="00D76FCD">
        <w:rPr>
          <w:i/>
          <w:lang w:val="fr-FR"/>
        </w:rPr>
        <w:t>Am zis, fraţii mei, că rodul ce ni se recomandă când mâncăm Trupul Său şi bem Sângele Său, este ca noi să locuim în El şi El să locuiască în noi. Noi locuim în El când suntem mădulare ale Sale, El locuieşte în noi când suntem Templul Său</w:t>
      </w:r>
      <w:r w:rsidRPr="00D76FCD">
        <w:rPr>
          <w:lang w:val="fr-FR"/>
        </w:rPr>
        <w:t>".</w:t>
      </w:r>
      <w:r w:rsidRPr="00D76FCD">
        <w:rPr>
          <w:rStyle w:val="FootnoteReference"/>
          <w:lang w:val="fr-FR"/>
        </w:rPr>
        <w:footnoteReference w:id="15"/>
      </w:r>
      <w:r w:rsidRPr="00D76FCD">
        <w:rPr>
          <w:lang w:val="fr-FR"/>
        </w:rPr>
        <w:t xml:space="preserve"> Iar Sfântul Chirii al Ierusalimului desemnează cu numele de </w:t>
      </w:r>
      <w:r w:rsidRPr="00D76FCD">
        <w:rPr>
          <w:bCs/>
          <w:lang w:val="fr-FR"/>
        </w:rPr>
        <w:t xml:space="preserve">hristofori </w:t>
      </w:r>
      <w:r w:rsidRPr="00D76FCD">
        <w:rPr>
          <w:lang w:val="fr-FR"/>
        </w:rPr>
        <w:t>pe cei ce se împărtăşesc, după cuvântul Sfântului Petru: „</w:t>
      </w:r>
      <w:r w:rsidRPr="00D76FCD">
        <w:rPr>
          <w:i/>
          <w:lang w:val="fr-FR"/>
        </w:rPr>
        <w:t>noi participăm la firea divină</w:t>
      </w:r>
      <w:r w:rsidRPr="00D76FCD">
        <w:rPr>
          <w:lang w:val="fr-FR"/>
        </w:rPr>
        <w:t xml:space="preserve"> (II Petru l, 4).</w:t>
      </w:r>
    </w:p>
    <w:p w:rsidR="00A7733F" w:rsidRPr="00D76FCD" w:rsidRDefault="00A7733F" w:rsidP="00A7733F">
      <w:pPr>
        <w:autoSpaceDE w:val="0"/>
        <w:autoSpaceDN w:val="0"/>
        <w:adjustRightInd w:val="0"/>
        <w:spacing w:line="360" w:lineRule="auto"/>
        <w:jc w:val="both"/>
        <w:rPr>
          <w:lang w:val="fr-FR"/>
        </w:rPr>
      </w:pPr>
      <w:r w:rsidRPr="00D76FCD">
        <w:rPr>
          <w:lang w:val="fr-FR"/>
        </w:rPr>
        <w:tab/>
        <w:t>Nemurirea şi îndumnezeirea prin împărtăşanie sunt încununarea unui lung proces de educaţie şi de creştere euharistică „până la statura lui Hristos" ceea ce nu se va întâmpla decât în împărăţia lui Dumnezeu. Hristos Însuşi face această educaţie. Sfântul Ioan Gură de Aur o spune într-un stil mişcător : „</w:t>
      </w:r>
      <w:r w:rsidRPr="00D76FCD">
        <w:rPr>
          <w:bCs/>
          <w:i/>
          <w:lang w:val="fr-FR"/>
        </w:rPr>
        <w:t>Ce păstor îşi hrăneşte oile sale cu propriile mădulare? Dar ce spun eu păstor? Sunt mame care adesea, după ce au născut, îşi dau copiii la doică, dar Hristos n-a răbdat una ca aceasta, ci El însuşi ne hrăneşte cu Sângele Său şi prin toate ne uneşte cu El ...El Se uneşte cu fiecare credincios prin Sfintele Taine; El hrăneşte prin El însuşi pe aceia pe care i-a născut, fără să-i încredinţeze altcuiva</w:t>
      </w:r>
      <w:r w:rsidRPr="00D76FCD">
        <w:rPr>
          <w:i/>
          <w:lang w:val="fr-FR"/>
        </w:rPr>
        <w:t xml:space="preserve">. Prin aceasta El ne convinge din nou că El S-a întrupat în Trupul Său. Să nu fim leneşi, deoarece am fost învredniciţi de o aşa de mare dragoste şi cinste. </w:t>
      </w:r>
      <w:r w:rsidRPr="00D76FCD">
        <w:rPr>
          <w:bCs/>
          <w:i/>
          <w:lang w:val="fr-FR"/>
        </w:rPr>
        <w:t xml:space="preserve">Nu vedeţi cu câtă stăruinţă pruncii asaltează sânul mamei lor? Cu câtă ardoare îşi lipesc ei buzele lor de acest sân? Să ne apropiem cu aceeaşi stăruinţă de această masă şi de sânul paharului duhovnicesc. Mai mult: să ne atragem cu mai </w:t>
      </w:r>
      <w:r w:rsidRPr="00D76FCD">
        <w:rPr>
          <w:bCs/>
          <w:i/>
          <w:lang w:val="fr-FR"/>
        </w:rPr>
        <w:lastRenderedPageBreak/>
        <w:t>mult zel decât pruncii harul Sfântului Duh. Să nu avem decât o singură durere : aceea de a nu ne împărtăşi cu această hrană</w:t>
      </w:r>
      <w:r w:rsidRPr="00D76FCD">
        <w:rPr>
          <w:i/>
          <w:lang w:val="fr-FR"/>
        </w:rPr>
        <w:t>.</w:t>
      </w:r>
      <w:r w:rsidRPr="00D76FCD">
        <w:rPr>
          <w:lang w:val="fr-FR"/>
        </w:rPr>
        <w:t>"</w:t>
      </w:r>
      <w:r w:rsidRPr="00D76FCD">
        <w:rPr>
          <w:rStyle w:val="FootnoteReference"/>
          <w:lang w:val="fr-FR"/>
        </w:rPr>
        <w:footnoteReference w:id="16"/>
      </w:r>
    </w:p>
    <w:p w:rsidR="00A7733F" w:rsidRPr="00D76FCD" w:rsidRDefault="00A7733F" w:rsidP="00A7733F">
      <w:pPr>
        <w:autoSpaceDE w:val="0"/>
        <w:autoSpaceDN w:val="0"/>
        <w:adjustRightInd w:val="0"/>
        <w:spacing w:line="360" w:lineRule="auto"/>
        <w:jc w:val="both"/>
        <w:rPr>
          <w:lang w:val="fr-FR"/>
        </w:rPr>
      </w:pPr>
      <w:r w:rsidRPr="00D76FCD">
        <w:rPr>
          <w:lang w:val="fr-FR"/>
        </w:rPr>
        <w:tab/>
        <w:t>Prin darul Sfântului Duh omul se uneşte în chip nevăzut cu Dumnezeu. Această lucrare se săvârşeşte de fapt, sub anumite forme şi grade deosebite, prin mijlocirea tuturor Sfintelor Taine, însă în Sfânta Euharistie nu primim numai darurile Duhului Sfânt (ca în celelalte Sfinte Taine) oricât de bogate ar fi ele - spune N. Cabasila - ci pe însuşi Vistiernicul acestor daruri, comoara în care se cuprinde toată bogăţia darurilor. Aici se vede rolul deosebit al Sfintei Euharistii în întreţinerea şi creşterea vieţii în Hristos, care se realizează îndeosebi prin trupul euharistic al lui Hristos, care „</w:t>
      </w:r>
      <w:r w:rsidRPr="00D76FCD">
        <w:rPr>
          <w:i/>
          <w:lang w:val="fr-FR"/>
        </w:rPr>
        <w:t>este cu adevărat mâncare</w:t>
      </w:r>
      <w:r w:rsidRPr="00D76FCD">
        <w:rPr>
          <w:lang w:val="fr-FR"/>
        </w:rPr>
        <w:t>", şi prin Sângele Lui, care „</w:t>
      </w:r>
      <w:r w:rsidRPr="00D76FCD">
        <w:rPr>
          <w:i/>
          <w:lang w:val="fr-FR"/>
        </w:rPr>
        <w:t>este cu adevărat băutură</w:t>
      </w:r>
      <w:r w:rsidRPr="00D76FCD">
        <w:rPr>
          <w:lang w:val="fr-FR"/>
        </w:rPr>
        <w:t>" (Ioan 6, 55), mâncare şi băutură duhovnicească pentru întreţinerea şi sporirea vieţii duhovniceşti în om.</w:t>
      </w:r>
      <w:r w:rsidRPr="00D76FCD">
        <w:rPr>
          <w:rStyle w:val="FootnoteReference"/>
          <w:lang w:val="fr-FR"/>
        </w:rPr>
        <w:footnoteReference w:id="17"/>
      </w:r>
    </w:p>
    <w:p w:rsidR="00A7733F" w:rsidRPr="00D76FCD" w:rsidRDefault="00A7733F" w:rsidP="00A7733F">
      <w:pPr>
        <w:autoSpaceDE w:val="0"/>
        <w:autoSpaceDN w:val="0"/>
        <w:adjustRightInd w:val="0"/>
        <w:spacing w:line="360" w:lineRule="auto"/>
        <w:jc w:val="both"/>
        <w:rPr>
          <w:lang w:val="fr-FR"/>
        </w:rPr>
      </w:pPr>
      <w:r w:rsidRPr="00D76FCD">
        <w:rPr>
          <w:lang w:val="fr-FR"/>
        </w:rPr>
        <w:tab/>
        <w:t>În Euharistie are loc unirea noastră personală cu Hristos, unire care ne menţine ca existenţă personală şi responsabilă în faţa lui Dumnezeu, şi ne dă totdeauna posibilitatea unei neîncetate creşteri în Hristos - Dumnezeu întrupat. Dacă prin Botez şi Mirungere devin frate al lui Hristos şi fiu al Tatălui ceresc, prin dumnezeiasca Euharistie „</w:t>
      </w:r>
      <w:r w:rsidRPr="00D76FCD">
        <w:rPr>
          <w:i/>
          <w:lang w:val="fr-FR"/>
        </w:rPr>
        <w:t>nu mai trăiesc eu, ci Hristos trăieşte în mine</w:t>
      </w:r>
      <w:r w:rsidRPr="00D76FCD">
        <w:rPr>
          <w:lang w:val="fr-FR"/>
        </w:rPr>
        <w:t>"</w:t>
      </w:r>
      <w:r>
        <w:rPr>
          <w:rStyle w:val="FootnoteReference"/>
          <w:lang w:val="fr-FR"/>
        </w:rPr>
        <w:footnoteReference w:id="18"/>
      </w:r>
      <w:r w:rsidRPr="00D76FCD">
        <w:rPr>
          <w:lang w:val="fr-FR"/>
        </w:rPr>
        <w:t>. Prin ea ni se comunică Trupul lui Hristos însuşi împreună cu puterea Lui care a surpat moartea şi care e transfigurat de înviere.</w:t>
      </w:r>
      <w:r w:rsidRPr="00D76FCD">
        <w:rPr>
          <w:rStyle w:val="FootnoteReference"/>
          <w:lang w:val="fr-FR"/>
        </w:rPr>
        <w:footnoteReference w:id="19"/>
      </w:r>
      <w:r w:rsidRPr="00D76FCD">
        <w:rPr>
          <w:lang w:val="fr-FR"/>
        </w:rPr>
        <w:t xml:space="preserve"> </w:t>
      </w:r>
    </w:p>
    <w:p w:rsidR="00A7733F" w:rsidRPr="00D76FCD" w:rsidRDefault="00A7733F" w:rsidP="00A7733F">
      <w:pPr>
        <w:autoSpaceDE w:val="0"/>
        <w:autoSpaceDN w:val="0"/>
        <w:adjustRightInd w:val="0"/>
        <w:spacing w:line="360" w:lineRule="auto"/>
        <w:jc w:val="both"/>
        <w:rPr>
          <w:lang w:val="fr-FR"/>
        </w:rPr>
      </w:pPr>
      <w:r w:rsidRPr="00D76FCD">
        <w:rPr>
          <w:lang w:val="fr-FR"/>
        </w:rPr>
        <w:tab/>
        <w:t xml:space="preserve">Unirea credinciosului cu Hristos, prin Sfintele Taine, este în acelaşi timp stabilă şi dinamică, fiindcă </w:t>
      </w:r>
      <w:r w:rsidRPr="00D76FCD">
        <w:rPr>
          <w:i/>
          <w:lang w:val="fr-FR"/>
        </w:rPr>
        <w:t xml:space="preserve">„în cele duhovniceşti cine nu urcă nu rămâne unde este, ci cade" </w:t>
      </w:r>
      <w:r w:rsidRPr="00D76FCD">
        <w:rPr>
          <w:lang w:val="fr-FR"/>
        </w:rPr>
        <w:t>(Sfântul Grigorie de Nyssa). Fiecare împărtăşire este o nouă şi inedită „întâlnire", „legătură" şi „unire" cu Hristos Dumnezeu, un progres în întâlnire şi comuniune cu Hristos însuşi şi cu semenii noştri, ca împreună mădulare ale lui Hristos. Din puterea şi bogăţia dăruirii lui Hristos în Euharistie, Bisericii şi mădularelor ei în parte, noi toţi luăm putere să ne dăruim unii altora într-o continuă convergenţă şi unificare. Mare este Taina lui Hristos, taina „îndumnezeirii omului", care uneşte în sine toate, „şi cerul şi pământul", în care s-a realizat pentru totdeauna „întâlnirea mântuitoare a omului cu Dumnezeu".</w:t>
      </w:r>
      <w:r w:rsidRPr="00D76FCD">
        <w:rPr>
          <w:rStyle w:val="FootnoteReference"/>
          <w:lang w:val="fr-FR"/>
        </w:rPr>
        <w:footnoteReference w:id="20"/>
      </w:r>
      <w:r w:rsidRPr="00D76FCD">
        <w:rPr>
          <w:lang w:val="fr-FR"/>
        </w:rPr>
        <w:t xml:space="preserve"> </w:t>
      </w:r>
    </w:p>
    <w:p w:rsidR="00A7733F" w:rsidRPr="00D76FCD" w:rsidRDefault="00A7733F" w:rsidP="00A7733F">
      <w:pPr>
        <w:autoSpaceDE w:val="0"/>
        <w:autoSpaceDN w:val="0"/>
        <w:adjustRightInd w:val="0"/>
        <w:spacing w:line="360" w:lineRule="auto"/>
        <w:jc w:val="both"/>
        <w:rPr>
          <w:lang w:val="fr-FR"/>
        </w:rPr>
      </w:pPr>
      <w:r w:rsidRPr="00D76FCD">
        <w:rPr>
          <w:lang w:val="fr-FR"/>
        </w:rPr>
        <w:tab/>
        <w:t xml:space="preserve">Această unire a cerului cu pământul este totodată o asumare a creaţiei în plan spiritual pentru că materia constituie alături de substanţa spirituală, o substanţă de bază a cosmosului, a existenţei, create şi organizate de" lucrarea" divină în diverse stări şi forme; constituie ambianţa minunată dăruită de Dumnezeu drept casă în care ne începem veşnicia, constituie </w:t>
      </w:r>
      <w:r w:rsidRPr="00D76FCD">
        <w:rPr>
          <w:lang w:val="fr-FR"/>
        </w:rPr>
        <w:lastRenderedPageBreak/>
        <w:t xml:space="preserve">îmbrăcăminte şi parte a vieţii noastre. Materia a fost asumată de Dumnezeu însuşi prin Fiul Sau pentru a o aşeza şi pe ea în capul unghiului, spre care Tatăl „ne trage" pe toţi. Ea face parte din identitatea noastră umană aşa cum natura pur spirituală rămâne identitatea îngerilor. Făcând parte din ale noastre şi din noi, ea rămâne spaţiul şi timpul naşterii şi parte din ale noastre şi din noi, ea rămâne spaţiul şi timpul naşterii şi desăvârşirii noastre. </w:t>
      </w:r>
      <w:r w:rsidRPr="00D76FCD">
        <w:rPr>
          <w:bCs/>
          <w:lang w:val="fr-FR"/>
        </w:rPr>
        <w:t>Astfel că structura noastră materială presupune mijloace materiale pentru stabilirea şi întreţinerea dialogului cu Dumnezeu. Aceasta este şi destinaţia noastră existenţială – atingerea desăvârşirii materiale şi spirituale, care este imposibilă fără Euharistie</w:t>
      </w:r>
      <w:r w:rsidRPr="00D76FCD">
        <w:rPr>
          <w:lang w:val="fr-FR"/>
        </w:rPr>
        <w:t>.</w:t>
      </w:r>
    </w:p>
    <w:p w:rsidR="00A7733F" w:rsidRPr="00D76FCD" w:rsidRDefault="00A7733F" w:rsidP="00A7733F">
      <w:pPr>
        <w:autoSpaceDE w:val="0"/>
        <w:autoSpaceDN w:val="0"/>
        <w:adjustRightInd w:val="0"/>
        <w:spacing w:line="360" w:lineRule="auto"/>
        <w:jc w:val="both"/>
        <w:rPr>
          <w:lang w:val="fr-FR"/>
        </w:rPr>
      </w:pPr>
      <w:r w:rsidRPr="00D76FCD">
        <w:rPr>
          <w:lang w:val="fr-FR"/>
        </w:rPr>
        <w:tab/>
        <w:t>Însuşi Hristos a ridicat trupul uman la rangul de materie divină. Trupul uman al Domnului este realitatea cea mai scumpă nouă, rămasă încă în stare de răstignire şi jertfă prin Trupul euharistie, care ni se oferă la Sfânta Liturghie.</w:t>
      </w:r>
      <w:r w:rsidRPr="00D76FCD">
        <w:rPr>
          <w:rStyle w:val="FootnoteReference"/>
          <w:lang w:val="fr-FR"/>
        </w:rPr>
        <w:footnoteReference w:id="21"/>
      </w:r>
    </w:p>
    <w:p w:rsidR="00A7733F" w:rsidRPr="00D76FCD" w:rsidRDefault="00A7733F" w:rsidP="00A7733F">
      <w:pPr>
        <w:autoSpaceDE w:val="0"/>
        <w:autoSpaceDN w:val="0"/>
        <w:adjustRightInd w:val="0"/>
        <w:spacing w:line="360" w:lineRule="auto"/>
        <w:jc w:val="both"/>
        <w:rPr>
          <w:lang w:val="fr-FR"/>
        </w:rPr>
      </w:pPr>
      <w:r w:rsidRPr="00D76FCD">
        <w:rPr>
          <w:lang w:val="fr-FR"/>
        </w:rPr>
        <w:tab/>
        <w:t>Prin Sfânta Liturghie Mântuitorul continuă să trăiască în Biserică, iar noi devenim în mod real martori ai evenimentelor mântuitoare şi părtaşi la Euharistie - Taina împărăţiei lui Dumnezeu</w:t>
      </w:r>
      <w:r w:rsidRPr="00D76FCD">
        <w:rPr>
          <w:rStyle w:val="FootnoteReference"/>
          <w:lang w:val="fr-FR"/>
        </w:rPr>
        <w:footnoteReference w:id="22"/>
      </w:r>
      <w:r w:rsidRPr="00D76FCD">
        <w:rPr>
          <w:lang w:val="fr-FR"/>
        </w:rPr>
        <w:t>, în Sfânta Liturghie credincioşii realizează o „înaintare comună în împărăţia Sfintei Treimi".</w:t>
      </w:r>
    </w:p>
    <w:p w:rsidR="00A7733F" w:rsidRPr="00D76FCD" w:rsidRDefault="00A7733F" w:rsidP="00A7733F">
      <w:pPr>
        <w:autoSpaceDE w:val="0"/>
        <w:autoSpaceDN w:val="0"/>
        <w:adjustRightInd w:val="0"/>
        <w:spacing w:line="360" w:lineRule="auto"/>
        <w:jc w:val="both"/>
        <w:rPr>
          <w:lang w:val="fr-FR"/>
        </w:rPr>
      </w:pPr>
      <w:r w:rsidRPr="00D76FCD">
        <w:rPr>
          <w:lang w:val="fr-FR"/>
        </w:rPr>
        <w:tab/>
        <w:t xml:space="preserve">Aici credincioşii au posibilitatea să fie părtaşi la cea mai aleasă desfătare duhovnicească, împlinindu-se astfel cuvintele Mântuitorului: </w:t>
      </w:r>
      <w:r w:rsidRPr="00D76FCD">
        <w:rPr>
          <w:i/>
          <w:lang w:val="fr-FR"/>
        </w:rPr>
        <w:t>„Eu vă rânduiesc vouă împărăţie, precum Mi-a rânduit Mie Tatăl Meu, ca să mâncaţi şi să beţi la masa Mea, în împărăţia Mea"</w:t>
      </w:r>
      <w:r>
        <w:rPr>
          <w:rStyle w:val="FootnoteReference"/>
          <w:i/>
          <w:lang w:val="fr-FR"/>
        </w:rPr>
        <w:footnoteReference w:id="23"/>
      </w:r>
      <w:r>
        <w:rPr>
          <w:i/>
          <w:lang w:val="fr-FR"/>
        </w:rPr>
        <w:t>.</w:t>
      </w:r>
    </w:p>
    <w:p w:rsidR="00A7733F" w:rsidRPr="00D76FCD" w:rsidRDefault="00A7733F" w:rsidP="00A7733F">
      <w:pPr>
        <w:autoSpaceDE w:val="0"/>
        <w:autoSpaceDN w:val="0"/>
        <w:adjustRightInd w:val="0"/>
        <w:spacing w:line="360" w:lineRule="auto"/>
        <w:jc w:val="both"/>
        <w:rPr>
          <w:lang w:val="fr-FR"/>
        </w:rPr>
      </w:pPr>
      <w:r w:rsidRPr="00D76FCD">
        <w:rPr>
          <w:lang w:val="fr-FR"/>
        </w:rPr>
        <w:tab/>
        <w:t>La fiecare Liturghie, sub formă de miride, toţi membrii Bisericii sunt aşezaţi în jurul Agneţului - Mielul de Jertfă - şi integraţi în Jertfa Sa. Când s-a săvârşit Proscomidia (parte pregătitoare a Sfintei Liturghii, care nu este numai o pregătire a darurilor, ci şi o anumită „producere sau protoprezenţă" a lui Hristos cel jertfit; ea are ca temei faptul întrupării şi Răstignirii lui Hristos; dacă simpla rugăciune ne pune în legătură cu El, cu cât mai mult rânduiala Proscomidiei, numită şi ea „chip" şi „icoană" a lui Hristos, este o mai evidentă prezenţă a lui Hristos, Cel ce S-a născut din Fecioară, S-a răstignit şi a înviat)</w:t>
      </w:r>
      <w:r w:rsidRPr="00D76FCD">
        <w:rPr>
          <w:rStyle w:val="FootnoteReference"/>
          <w:lang w:val="fr-FR"/>
        </w:rPr>
        <w:footnoteReference w:id="24"/>
      </w:r>
      <w:r w:rsidRPr="00D76FCD">
        <w:rPr>
          <w:lang w:val="fr-FR"/>
        </w:rPr>
        <w:t xml:space="preserve">, totul este raportat la jertfa lui Hristos, noi toţi suntem </w:t>
      </w:r>
      <w:r w:rsidRPr="00D76FCD">
        <w:rPr>
          <w:i/>
          <w:lang w:val="fr-FR"/>
        </w:rPr>
        <w:t>„ascunşi cu Hristos în Dumnezeu"</w:t>
      </w:r>
      <w:r w:rsidRPr="00D76FCD">
        <w:rPr>
          <w:lang w:val="fr-FR"/>
        </w:rPr>
        <w:t xml:space="preserve"> </w:t>
      </w:r>
      <w:r>
        <w:rPr>
          <w:rStyle w:val="FootnoteReference"/>
          <w:lang w:val="fr-FR"/>
        </w:rPr>
        <w:footnoteReference w:id="25"/>
      </w:r>
      <w:r>
        <w:rPr>
          <w:lang w:val="fr-FR"/>
        </w:rPr>
        <w:t>.</w:t>
      </w:r>
      <w:r w:rsidRPr="00D76FCD">
        <w:rPr>
          <w:lang w:val="fr-FR"/>
        </w:rPr>
        <w:t xml:space="preserve">Când se scoate o miridă şi se pronunţă un nume, persoana respectivă oferită în jertfă lui Dumnezeu, îi sunt iertate păcatele, intră în harul luminos care izvorăşte din mormântul lui Hristos, în viaţa </w:t>
      </w:r>
      <w:r w:rsidRPr="00D76FCD">
        <w:rPr>
          <w:lang w:val="fr-FR"/>
        </w:rPr>
        <w:lastRenderedPageBreak/>
        <w:t>transfigurată şi îndumnezeită pentru care a fost creat. Dăruindu-ne pe noi înşine şi unii pe alţii şi toată viaţa noastră lui Hristos, la momentul culminant al prefacerii, vom fi prezenţi în ofranda eternă adusă de către El lui Dumnezeu, pentru mântuirea neamului omenesc. Hrănindu-ne apoi cu „pâinea cerească" şi cu „paharul vieţii", gustând şi văzând cât de bun este Domnul, avem nădejde de mântuire.</w:t>
      </w:r>
    </w:p>
    <w:p w:rsidR="00A7733F" w:rsidRPr="00D76FCD" w:rsidRDefault="00A7733F" w:rsidP="00A7733F">
      <w:pPr>
        <w:autoSpaceDE w:val="0"/>
        <w:autoSpaceDN w:val="0"/>
        <w:adjustRightInd w:val="0"/>
        <w:spacing w:line="360" w:lineRule="auto"/>
        <w:jc w:val="both"/>
        <w:rPr>
          <w:lang w:val="fr-FR"/>
        </w:rPr>
      </w:pPr>
      <w:r w:rsidRPr="00D76FCD">
        <w:rPr>
          <w:lang w:val="fr-FR"/>
        </w:rPr>
        <w:tab/>
        <w:t>Prin Taine se realizează „unirea lui Dumnezeu cu creatura" –spune părintele Dumitru Stăniloae -, Hristos pătrunde cu Trupul Său, cu energiile Trupului Său preamărit în trupul nostru. De aceea Tainele sunt mijloace prin care Dumnezeu ne sfinţeşte. Dar nu numai pe noi, pentru că o trăsătură specifică spiritualităţii creştine este pan-cosmismul ei. Prin slujbele ortodoxe se sfinţesc nu numai sufletele oamenilor, ci întreaga lume. Acţiunea sfinţitoare a Duhului Sfânt se răspândeşte prin Biserică asupra întregii naturi. Soarta naturii, fiind legată de soarta omului, din pricina căruia a suferit stricăciunea, îşi găseşte dezlegarea şi restaurarea tot împreună cu omul. Mântuitorul prin întrupare, s-a legat de întreaga natură iar mântuirea este „a doua creaţie a lumii"</w:t>
      </w:r>
      <w:r w:rsidRPr="00D76FCD">
        <w:rPr>
          <w:rStyle w:val="FootnoteReference"/>
          <w:lang w:val="fr-FR"/>
        </w:rPr>
        <w:footnoteReference w:id="26"/>
      </w:r>
      <w:r w:rsidRPr="00D76FCD">
        <w:rPr>
          <w:lang w:val="fr-FR"/>
        </w:rPr>
        <w:t>. Trupul lui Hristos este dătător de viaţă. Hristos îşi dă Trupul ca pâine, iar Sângele Său dătător de viaţă îl oferă ca vin, aşadar prin cele materiale. O, Taină înfricoşătoare! O, iconomie negrăită! O, condescendenţă de nespus! O, bunătate neveştejită! Creatorul se aduce creaturii ca hrană, Viaţa însăşi Se dăruieşte celor muritori ca mâncare şi băutura!</w:t>
      </w:r>
    </w:p>
    <w:p w:rsidR="00A7733F" w:rsidRPr="00D76FCD" w:rsidRDefault="00A7733F" w:rsidP="00A7733F">
      <w:pPr>
        <w:autoSpaceDE w:val="0"/>
        <w:autoSpaceDN w:val="0"/>
        <w:adjustRightInd w:val="0"/>
        <w:spacing w:line="360" w:lineRule="auto"/>
        <w:jc w:val="both"/>
        <w:rPr>
          <w:lang w:val="fr-FR"/>
        </w:rPr>
      </w:pPr>
      <w:r w:rsidRPr="00D76FCD">
        <w:rPr>
          <w:lang w:val="fr-FR"/>
        </w:rPr>
        <w:tab/>
        <w:t xml:space="preserve">Acestea sunt fiinţa Tainei: „unirea lucrurilor vizibile cu lucrurile invizibile, unirea unei forme exterioare cu un conţinut interior. </w:t>
      </w:r>
      <w:r w:rsidRPr="00D76FCD">
        <w:rPr>
          <w:bCs/>
          <w:lang w:val="fr-FR"/>
        </w:rPr>
        <w:t>Numai printr-o vedere duhovnicească se descoperă Taina, de aceea este necesar să spunem că, precum Hristos se cere privit mai ales dinlăuntru, ca Fiul  lui Dumnezeu - cum îl priveau credincioşii şi Sfinţii Apostoli - iar nu numai din afară ca „teslarul", „fiul lui Iosif şi al Mariei" - cum îl priveau fariseii - tot aşa şi Sfintele Taine se cer privite întâi şi mai ales din interior, ca prezenţă a lui Hristos în ele prin Duhul Sfânt"</w:t>
      </w:r>
      <w:r w:rsidRPr="00D76FCD">
        <w:rPr>
          <w:rStyle w:val="FootnoteReference"/>
          <w:bCs/>
          <w:lang w:val="fr-FR"/>
        </w:rPr>
        <w:footnoteReference w:id="27"/>
      </w:r>
      <w:r w:rsidRPr="00D76FCD">
        <w:rPr>
          <w:lang w:val="fr-FR"/>
        </w:rPr>
        <w:t>.</w:t>
      </w:r>
    </w:p>
    <w:p w:rsidR="00A7733F" w:rsidRPr="00D76FCD" w:rsidRDefault="00A7733F" w:rsidP="00A7733F">
      <w:pPr>
        <w:autoSpaceDE w:val="0"/>
        <w:autoSpaceDN w:val="0"/>
        <w:adjustRightInd w:val="0"/>
        <w:spacing w:line="360" w:lineRule="auto"/>
        <w:jc w:val="both"/>
        <w:rPr>
          <w:lang w:val="fr-FR"/>
        </w:rPr>
      </w:pPr>
      <w:r w:rsidRPr="00D76FCD">
        <w:rPr>
          <w:rFonts w:ascii="BookmanOldStyle" w:hAnsi="BookmanOldStyle" w:cs="BookmanOldStyle"/>
          <w:lang w:val="fr-FR"/>
        </w:rPr>
        <w:tab/>
      </w:r>
      <w:r w:rsidRPr="00D76FCD">
        <w:rPr>
          <w:lang w:val="fr-FR"/>
        </w:rPr>
        <w:t xml:space="preserve">Lumea Sfintelor Taine e lumea interioară a credinţei.Din acest motiv, Sfântul Chiril al Ierusalimului îndeamnă spre cele dinlăuntru ale Tainei: </w:t>
      </w:r>
      <w:r w:rsidRPr="00D76FCD">
        <w:rPr>
          <w:i/>
          <w:lang w:val="fr-FR"/>
        </w:rPr>
        <w:t>„nu te uita la pâine şi vin, ca la pâinea şi vinul obişnuit. Ele -potrivit hotărârii Stăpânului - sunt Trup şi Sânge al lui Hristos"</w:t>
      </w:r>
      <w:r w:rsidRPr="00D76FCD">
        <w:rPr>
          <w:rStyle w:val="FootnoteReference"/>
          <w:i/>
          <w:lang w:val="nb-NO"/>
        </w:rPr>
        <w:footnoteReference w:id="28"/>
      </w:r>
      <w:r w:rsidRPr="00D76FCD">
        <w:rPr>
          <w:i/>
          <w:lang w:val="fr-FR"/>
        </w:rPr>
        <w:t>.</w:t>
      </w:r>
      <w:r w:rsidRPr="00D76FCD">
        <w:rPr>
          <w:lang w:val="fr-FR"/>
        </w:rPr>
        <w:t xml:space="preserve"> Toate minunile văzute ale Mântuitorului de la prefacerea apei în vin la Cana, până la înmulţirea pâinilor şi de la Schimbarea la Faţă pănă la învierea lui Lazăr i-au pregătit pe </w:t>
      </w:r>
      <w:r w:rsidRPr="00D76FCD">
        <w:rPr>
          <w:lang w:val="fr-FR"/>
        </w:rPr>
        <w:lastRenderedPageBreak/>
        <w:t>Sfinţii Apostoli, şi, desigur, pe toţi credincioşii pentru primirea minunilor ascunse în Sfintele Taine.</w:t>
      </w:r>
      <w:r w:rsidRPr="00D76FCD">
        <w:rPr>
          <w:rStyle w:val="FootnoteReference"/>
          <w:lang w:val="fr-FR"/>
        </w:rPr>
        <w:footnoteReference w:id="29"/>
      </w:r>
    </w:p>
    <w:p w:rsidR="00A7733F" w:rsidRPr="00D76FCD" w:rsidRDefault="00A7733F" w:rsidP="00A7733F">
      <w:pPr>
        <w:autoSpaceDE w:val="0"/>
        <w:autoSpaceDN w:val="0"/>
        <w:adjustRightInd w:val="0"/>
        <w:spacing w:line="360" w:lineRule="auto"/>
        <w:jc w:val="both"/>
        <w:rPr>
          <w:lang w:val="fr-FR"/>
        </w:rPr>
      </w:pPr>
      <w:r w:rsidRPr="00D76FCD">
        <w:rPr>
          <w:lang w:val="fr-FR"/>
        </w:rPr>
        <w:tab/>
        <w:t>Toate acestea stau mărturie prin textele nou-testamentare care înfăţişează elementele euharistice ca fiind în mod real Trupul şi Sângele Domnului. Sfântul Apostol Pavel zice : „</w:t>
      </w:r>
      <w:r w:rsidRPr="00D76FCD">
        <w:rPr>
          <w:i/>
          <w:lang w:val="fr-FR"/>
        </w:rPr>
        <w:t>Paharul binecuvântării pe care-l binecuvântăm, nu este oare împărtăşirea cu Sângele lut Hristos ; pâinea pe care o frângem, nu este oare împărtăşirea cu Trupul lui Hristos?</w:t>
      </w:r>
      <w:r w:rsidRPr="00D76FCD">
        <w:rPr>
          <w:lang w:val="fr-FR"/>
        </w:rPr>
        <w:t xml:space="preserve"> </w:t>
      </w:r>
      <w:r>
        <w:rPr>
          <w:rStyle w:val="FootnoteReference"/>
          <w:lang w:val="fr-FR"/>
        </w:rPr>
        <w:footnoteReference w:id="30"/>
      </w:r>
      <w:r>
        <w:rPr>
          <w:lang w:val="fr-FR"/>
        </w:rPr>
        <w:t>.</w:t>
      </w:r>
      <w:r w:rsidRPr="00D76FCD">
        <w:rPr>
          <w:lang w:val="fr-FR"/>
        </w:rPr>
        <w:t>Noi nu trebuie să ne înfăţişăm oricum la acest ospăţ al nemuririi. Dând expresie acestei idei, Sfântul Ioan Gură de Aur zice : „</w:t>
      </w:r>
      <w:r w:rsidRPr="00D76FCD">
        <w:rPr>
          <w:bCs/>
          <w:i/>
          <w:lang w:val="fr-FR"/>
        </w:rPr>
        <w:t>Cât de pur trebuie să fie acela care va gusta din această Jertfă? Cu cât mai curate decât razele soarelui trebuie să fie mâna care</w:t>
      </w:r>
      <w:r w:rsidRPr="00D76FCD">
        <w:rPr>
          <w:bCs/>
          <w:lang w:val="fr-FR"/>
        </w:rPr>
        <w:t xml:space="preserve"> </w:t>
      </w:r>
      <w:r w:rsidRPr="00D76FCD">
        <w:rPr>
          <w:bCs/>
          <w:i/>
          <w:lang w:val="fr-FR"/>
        </w:rPr>
        <w:t>frânge Acest Trup, gura care se umple de acest foc duhovnicesc, limba care se înroşeşte de Sângele cel înfricoşător</w:t>
      </w:r>
      <w:r w:rsidRPr="00D76FCD">
        <w:rPr>
          <w:i/>
          <w:lang w:val="fr-FR"/>
        </w:rPr>
        <w:t>? Gândeşte-te de câtă cinste ai fost învrednicit l De ce fel de masă te atingi !"</w:t>
      </w:r>
      <w:r w:rsidRPr="00D76FCD">
        <w:rPr>
          <w:lang w:val="fr-FR"/>
        </w:rPr>
        <w:t xml:space="preserve">; sau: </w:t>
      </w:r>
      <w:r w:rsidRPr="00D76FCD">
        <w:rPr>
          <w:i/>
          <w:lang w:val="fr-FR"/>
        </w:rPr>
        <w:t xml:space="preserve">„Când vezi pe Domnul jertfit şi stând întins şi pe preot aplecându-se asupra jertfei şi rugându-se şi pe toţi înroşiţi de acel Sânge preţios, mat crezi că eşti printre oameni şi stat pe pământ ?! Nu eşti oare atunci mutat în ceruri şi, aruncând din suflet toată cugetarea trupească, nu priveşti tu numai cu sufletul şi cu mintea pură cele cereşti? </w:t>
      </w:r>
      <w:r w:rsidRPr="00D76FCD">
        <w:rPr>
          <w:bCs/>
          <w:i/>
          <w:lang w:val="fr-FR"/>
        </w:rPr>
        <w:t>O, ce minune! O, iubirea de oameni a lui Dumnezeul Cel ce stă sus cu Tatăl, în acel ceas e în mâinile tuturor şi Se dă pe Sine celor ce vor să-L îmbrăţişeze şi să-L primească</w:t>
      </w:r>
      <w:r w:rsidRPr="00D76FCD">
        <w:rPr>
          <w:i/>
          <w:lang w:val="fr-FR"/>
        </w:rPr>
        <w:t>"</w:t>
      </w:r>
      <w:r w:rsidRPr="00D76FCD">
        <w:rPr>
          <w:rStyle w:val="FootnoteReference"/>
          <w:i/>
          <w:lang w:val="fr-FR"/>
        </w:rPr>
        <w:footnoteReference w:id="31"/>
      </w:r>
    </w:p>
    <w:p w:rsidR="00A7733F" w:rsidRPr="00D76FCD" w:rsidRDefault="00A7733F" w:rsidP="00A7733F">
      <w:pPr>
        <w:autoSpaceDE w:val="0"/>
        <w:autoSpaceDN w:val="0"/>
        <w:adjustRightInd w:val="0"/>
        <w:spacing w:line="360" w:lineRule="auto"/>
        <w:jc w:val="both"/>
        <w:rPr>
          <w:lang w:val="fr-FR"/>
        </w:rPr>
      </w:pPr>
      <w:r w:rsidRPr="00D76FCD">
        <w:rPr>
          <w:lang w:val="fr-FR"/>
        </w:rPr>
        <w:tab/>
        <w:t>Omul nu e făcut pentru un timp trecător, ci pentru o veşnicie cu Dumnezeu, timpul servindu-i numai ca drum spre veşnicie. Pentru aceasta Sa făcut Dumnezeu om, ca omul să participe la viaţa dumnezeiască (II Petru l, 4) prin Duhul Sfânt, Care a umplut prin înviere umanitatea lui Hristos. Fiul S-a făcut prin întrupare întru totul asemenea nouă, afară de păcat, ca noi să devenim asemenea Lui, prin îndumnezeirea lucrată în noi după înviere, dar cu consimţământul şi eforturile noastre. Această lucrare mântuitoare se realizează în Biserică, de către Duhul Sfânt, Cel care preface pâinea şi vinul în Trupul şi Sângele Mântuitorului, Jertfa cea reală şi adevărată (nu ca cele din Vechiul Testament care erau simbolice). De aceea Iisus a aşezat jertfa Trupului şi Sângelui Său, singura care are puterea de a ispăşi păcatele oamenilor, întrucât El era mai aproape de Dumnezeu ca Unul Născut, Fiul Tatălui, şi mai aproape de om, ca Cel ce S-a smerit în</w:t>
      </w:r>
      <w:r>
        <w:rPr>
          <w:lang w:val="fr-FR"/>
        </w:rPr>
        <w:t xml:space="preserve">tru toate, luând trup omenesc. </w:t>
      </w:r>
      <w:r w:rsidRPr="00D76FCD">
        <w:rPr>
          <w:lang w:val="fr-FR"/>
        </w:rPr>
        <w:t xml:space="preserve">Iubirea şi înţelepciunea lui Dumnezeu au ales acest mijloc ca împăcarea să fie veşnică şi universală. Astfel ea se continuă, în chip tainic </w:t>
      </w:r>
      <w:r w:rsidRPr="00D76FCD">
        <w:rPr>
          <w:lang w:val="fr-FR"/>
        </w:rPr>
        <w:lastRenderedPageBreak/>
        <w:t>şi nesângeros, în Jertfa euharistică</w:t>
      </w:r>
      <w:r w:rsidRPr="00D76FCD">
        <w:rPr>
          <w:rStyle w:val="FootnoteReference"/>
          <w:lang w:val="fr-FR"/>
        </w:rPr>
        <w:footnoteReference w:id="32"/>
      </w:r>
      <w:r w:rsidRPr="00D76FCD">
        <w:rPr>
          <w:lang w:val="fr-FR"/>
        </w:rPr>
        <w:t>, căci, în locul pâinii şi vinului care întreţin viaţa noastră vremelnică, primim „pâinea cea cerească" prin care ni se dă viaţa cea veşnică</w:t>
      </w:r>
      <w:r w:rsidRPr="00D76FCD">
        <w:rPr>
          <w:rStyle w:val="FootnoteReference"/>
          <w:lang w:val="fr-FR"/>
        </w:rPr>
        <w:footnoteReference w:id="33"/>
      </w:r>
      <w:r w:rsidRPr="00D76FCD">
        <w:rPr>
          <w:lang w:val="fr-FR"/>
        </w:rPr>
        <w:t>.</w:t>
      </w:r>
    </w:p>
    <w:p w:rsidR="00A7733F" w:rsidRPr="00D76FCD" w:rsidRDefault="00A7733F" w:rsidP="00A7733F">
      <w:pPr>
        <w:autoSpaceDE w:val="0"/>
        <w:autoSpaceDN w:val="0"/>
        <w:adjustRightInd w:val="0"/>
        <w:spacing w:line="360" w:lineRule="auto"/>
        <w:jc w:val="both"/>
        <w:rPr>
          <w:lang w:val="fr-FR"/>
        </w:rPr>
      </w:pPr>
      <w:r w:rsidRPr="00D76FCD">
        <w:rPr>
          <w:lang w:val="fr-FR"/>
        </w:rPr>
        <w:tab/>
        <w:t>La „plinirea vremii" s-a realizat planul divin de mântuire a noastră, conceput de Dumnezeu în virtutea preştiinţei Sale. Acest plan divin are deci un început în veşnicie, o realizare în timp şi este mereu actual prin împărtăşirea fiecărui credincios de roadele jertfei Mântuitorului Hristos (Romani 10, 19).</w:t>
      </w:r>
    </w:p>
    <w:p w:rsidR="00A7733F" w:rsidRPr="00D76FCD" w:rsidRDefault="00A7733F" w:rsidP="00A7733F">
      <w:pPr>
        <w:autoSpaceDE w:val="0"/>
        <w:autoSpaceDN w:val="0"/>
        <w:adjustRightInd w:val="0"/>
        <w:spacing w:line="360" w:lineRule="auto"/>
        <w:jc w:val="both"/>
        <w:rPr>
          <w:lang w:val="fr-FR"/>
        </w:rPr>
      </w:pPr>
      <w:r w:rsidRPr="00D76FCD">
        <w:rPr>
          <w:lang w:val="fr-FR"/>
        </w:rPr>
        <w:tab/>
        <w:t>Aceste roade sunt multe. Dintre ele evidenţiem:</w:t>
      </w:r>
    </w:p>
    <w:p w:rsidR="00A7733F" w:rsidRPr="00D76FCD" w:rsidRDefault="00A7733F" w:rsidP="00A7733F">
      <w:pPr>
        <w:autoSpaceDE w:val="0"/>
        <w:autoSpaceDN w:val="0"/>
        <w:adjustRightInd w:val="0"/>
        <w:spacing w:line="360" w:lineRule="auto"/>
        <w:jc w:val="both"/>
        <w:rPr>
          <w:lang w:val="fr-FR"/>
        </w:rPr>
      </w:pPr>
      <w:r w:rsidRPr="00D76FCD">
        <w:rPr>
          <w:lang w:val="fr-FR"/>
        </w:rPr>
        <w:t>1. Învierea şi viaţa veşnică; după cuvintele Mântuitorului : „Cel ce mănâncă Trupul Meu şi bea Sângele Meu are viaţă veşnică şi Eu îl voi învia în ziua cea de apoi" (Ioan 6, 4)</w:t>
      </w:r>
    </w:p>
    <w:p w:rsidR="00A7733F" w:rsidRPr="00D76FCD" w:rsidRDefault="00A7733F" w:rsidP="00A7733F">
      <w:pPr>
        <w:autoSpaceDE w:val="0"/>
        <w:autoSpaceDN w:val="0"/>
        <w:adjustRightInd w:val="0"/>
        <w:spacing w:line="360" w:lineRule="auto"/>
        <w:jc w:val="both"/>
        <w:rPr>
          <w:lang w:val="fr-FR"/>
        </w:rPr>
      </w:pPr>
      <w:r w:rsidRPr="00D76FCD">
        <w:rPr>
          <w:lang w:val="fr-FR"/>
        </w:rPr>
        <w:t>2. Unirea cu Iisus Hristos; unire reală pentru că devenim prin împărtăşanie mădularele Lui şi El lucrează prin ele, iar noi, fiind ridicaţi aşa de sus, se cade să nu mai păcătuim şi să nu ne facem instrumente ale plăcerilor ca să nu ne pogorâm iarăşi în groapa păcatului, de unde am fost ridicaţi de Domnul; să ne păzim curaţi.</w:t>
      </w:r>
    </w:p>
    <w:p w:rsidR="00A7733F" w:rsidRPr="00D76FCD" w:rsidRDefault="00A7733F" w:rsidP="00A7733F">
      <w:pPr>
        <w:autoSpaceDE w:val="0"/>
        <w:autoSpaceDN w:val="0"/>
        <w:adjustRightInd w:val="0"/>
        <w:spacing w:line="360" w:lineRule="auto"/>
        <w:jc w:val="both"/>
        <w:rPr>
          <w:lang w:val="fr-FR"/>
        </w:rPr>
      </w:pPr>
      <w:r w:rsidRPr="00D76FCD">
        <w:rPr>
          <w:lang w:val="fr-FR"/>
        </w:rPr>
        <w:t>3. Dobândirea fericirii depline gustând „din Fiinţa fericirii înseşi", zice N. Cabasila, din Soarele Hristos din Sfânta Euharistie.</w:t>
      </w:r>
    </w:p>
    <w:p w:rsidR="00A7733F" w:rsidRPr="00D76FCD" w:rsidRDefault="00A7733F" w:rsidP="00A7733F">
      <w:pPr>
        <w:autoSpaceDE w:val="0"/>
        <w:autoSpaceDN w:val="0"/>
        <w:adjustRightInd w:val="0"/>
        <w:spacing w:line="360" w:lineRule="auto"/>
        <w:jc w:val="both"/>
        <w:rPr>
          <w:lang w:val="fr-FR"/>
        </w:rPr>
      </w:pPr>
      <w:r w:rsidRPr="00D76FCD">
        <w:rPr>
          <w:lang w:val="fr-FR"/>
        </w:rPr>
        <w:t>4. Iertarea păcatelor prin care devenim cetăţenii cerului, copiii lui Dumnezeu, o nouă creaţie, căci prin această Taină nu primim numai darurile Sfântului Duh oricât de bogate ar fi ele, ci pe Vistiernicul acestor daruri, luminaţi ca un adevărat Tabor.</w:t>
      </w:r>
    </w:p>
    <w:p w:rsidR="00A7733F" w:rsidRPr="00D76FCD" w:rsidRDefault="00A7733F" w:rsidP="00A7733F">
      <w:pPr>
        <w:autoSpaceDE w:val="0"/>
        <w:autoSpaceDN w:val="0"/>
        <w:adjustRightInd w:val="0"/>
        <w:spacing w:line="360" w:lineRule="auto"/>
        <w:jc w:val="both"/>
        <w:rPr>
          <w:lang w:val="fr-FR"/>
        </w:rPr>
      </w:pPr>
      <w:r w:rsidRPr="00D76FCD">
        <w:rPr>
          <w:lang w:val="fr-FR"/>
        </w:rPr>
        <w:t>5. Îndumnezeirea : lucrul cel mai de preţ pentru orice creştin. Dacă ne unim cu Hristos, cum arată Sfântul Apostol Pavel : „</w:t>
      </w:r>
      <w:r w:rsidRPr="00D76FCD">
        <w:rPr>
          <w:i/>
          <w:lang w:val="fr-FR"/>
        </w:rPr>
        <w:t xml:space="preserve">nu mai trăiesc eu, ci Hristos trăieşte în mine" </w:t>
      </w:r>
      <w:r w:rsidRPr="00D76FCD">
        <w:rPr>
          <w:lang w:val="fr-FR"/>
        </w:rPr>
        <w:t>(Galateni 2, 20), oare, când ne împărtăşim, nu ne simţim toţi una, nu ne simţim fraţi si fii ai Aceluiaşi Părinte ceresc? „</w:t>
      </w:r>
      <w:r w:rsidRPr="00D76FCD">
        <w:rPr>
          <w:i/>
          <w:lang w:val="fr-FR"/>
        </w:rPr>
        <w:t>Că o pâine şi un trup suntem cei mulţi, căci ne împărtăşim dintr-o pâine"</w:t>
      </w:r>
      <w:r w:rsidRPr="00D76FCD">
        <w:rPr>
          <w:lang w:val="fr-FR"/>
        </w:rPr>
        <w:t>, zice Sfântul Apostol Pavel (I. Cor 10, 7)</w:t>
      </w:r>
      <w:r w:rsidRPr="00D76FCD">
        <w:rPr>
          <w:rStyle w:val="FootnoteReference"/>
          <w:lang w:val="fr-FR"/>
        </w:rPr>
        <w:footnoteReference w:id="34"/>
      </w:r>
      <w:r w:rsidRPr="00D76FCD">
        <w:rPr>
          <w:lang w:val="fr-FR"/>
        </w:rPr>
        <w:t>. Prin împărtăşirea credincioşilor cu Trupul şi cu Sângele lui Hristos (I Cor. 10, 16; 11, 24, 25) se actualizează Jertfa de pe Golgota şi se anticipează profetic Parusia Domnului. Din această împărtăşire se naşte, creşte „omul cel nou"- (</w:t>
      </w:r>
      <w:r w:rsidRPr="00D76FCD">
        <w:rPr>
          <w:lang w:val="en-GB"/>
        </w:rPr>
        <w:t>καινοι</w:t>
      </w:r>
      <w:r w:rsidRPr="00D76FCD">
        <w:rPr>
          <w:lang w:val="fr-FR"/>
        </w:rPr>
        <w:t xml:space="preserve"> </w:t>
      </w:r>
      <w:r w:rsidRPr="00D76FCD">
        <w:rPr>
          <w:lang w:val="en-GB"/>
        </w:rPr>
        <w:t>ανθροποσ</w:t>
      </w:r>
      <w:r w:rsidRPr="00D76FCD">
        <w:rPr>
          <w:lang w:val="fr-FR"/>
        </w:rPr>
        <w:t>)</w:t>
      </w:r>
      <w:r w:rsidRPr="00D76FCD">
        <w:rPr>
          <w:iCs/>
          <w:lang w:val="fr-FR"/>
        </w:rPr>
        <w:t xml:space="preserve">. </w:t>
      </w:r>
      <w:r w:rsidRPr="00D76FCD">
        <w:rPr>
          <w:lang w:val="fr-FR"/>
        </w:rPr>
        <w:t>(Efeseni 2, 15), cel zidit după chipul lui Dumnezeu (Efeseni 4, 24; Coloseni 3, 16), „în strălucirea originară a creaţiei".</w:t>
      </w:r>
    </w:p>
    <w:p w:rsidR="00A7733F" w:rsidRPr="00D76FCD" w:rsidRDefault="00A7733F" w:rsidP="00A7733F">
      <w:pPr>
        <w:autoSpaceDE w:val="0"/>
        <w:autoSpaceDN w:val="0"/>
        <w:adjustRightInd w:val="0"/>
        <w:spacing w:line="360" w:lineRule="auto"/>
        <w:jc w:val="both"/>
        <w:rPr>
          <w:lang w:val="fr-FR"/>
        </w:rPr>
      </w:pPr>
      <w:r w:rsidRPr="00D76FCD">
        <w:rPr>
          <w:lang w:val="fr-FR"/>
        </w:rPr>
        <w:tab/>
        <w:t xml:space="preserve">Numai astfel credinciosul dobândeşte calitatea de fiu al lui Dumnezeu, prin naştere la viaţa duhovnicească şi prin participare tainică la patimile lui Hristos. Cu cât ne unim mai mult cu Hristos întru curăţie, cu atât suntem mai deplin prezenţi în iubirea Tatălui, întrucât El e </w:t>
      </w:r>
      <w:r w:rsidRPr="00D76FCD">
        <w:rPr>
          <w:lang w:val="fr-FR"/>
        </w:rPr>
        <w:lastRenderedPageBreak/>
        <w:t>deplin în noi, întrucât suntem plini de El, prezenţa Lui în faţa Tatălui e, în acelaşi timp, prezenţa noastră. Nu trebuie uitat că Sfânta Euharistie nu este numai o taină, ci este o jertfă de ispăşire pentru vii şi pentru morţi, a cărei roadă este iertarea păcatelor.</w:t>
      </w:r>
      <w:r w:rsidRPr="00D76FCD">
        <w:rPr>
          <w:rStyle w:val="FootnoteReference"/>
          <w:lang w:val="fr-FR"/>
        </w:rPr>
        <w:footnoteReference w:id="35"/>
      </w:r>
    </w:p>
    <w:p w:rsidR="00A7733F" w:rsidRPr="00D76FCD" w:rsidRDefault="00A7733F" w:rsidP="00A7733F">
      <w:pPr>
        <w:autoSpaceDE w:val="0"/>
        <w:autoSpaceDN w:val="0"/>
        <w:adjustRightInd w:val="0"/>
        <w:spacing w:line="360" w:lineRule="auto"/>
        <w:jc w:val="both"/>
        <w:rPr>
          <w:i/>
          <w:lang w:val="fr-FR"/>
        </w:rPr>
      </w:pPr>
      <w:r w:rsidRPr="00D76FCD">
        <w:rPr>
          <w:lang w:val="fr-FR"/>
        </w:rPr>
        <w:tab/>
        <w:t>Trupul şi Sângele Mântuitorului tămăduiesc rănile trupului şi ale sufletului şi, tot prin ele, se realizează acea unitate eclesială a tuturor mădularelor lui Hristos. Prin împărtăşire Hristos rămâne întru noi şi noi întru El</w:t>
      </w:r>
      <w:r w:rsidRPr="00D76FCD">
        <w:rPr>
          <w:rStyle w:val="FootnoteReference"/>
          <w:lang w:val="fr-FR"/>
        </w:rPr>
        <w:footnoteReference w:id="36"/>
      </w:r>
      <w:r w:rsidRPr="00D76FCD">
        <w:rPr>
          <w:lang w:val="fr-FR"/>
        </w:rPr>
        <w:t>. Euharistia este expresia dragostei lui Hristos. „</w:t>
      </w:r>
      <w:r w:rsidRPr="00D76FCD">
        <w:rPr>
          <w:i/>
          <w:lang w:val="fr-FR"/>
        </w:rPr>
        <w:t>Noi suntem un trup şi mădulare din carnea Sa şi din oasele Sale</w:t>
      </w:r>
      <w:r w:rsidRPr="00D76FCD">
        <w:rPr>
          <w:lang w:val="fr-FR"/>
        </w:rPr>
        <w:t xml:space="preserve">" </w:t>
      </w:r>
      <w:r>
        <w:rPr>
          <w:rStyle w:val="FootnoteReference"/>
          <w:lang w:val="fr-FR"/>
        </w:rPr>
        <w:footnoteReference w:id="37"/>
      </w:r>
      <w:r>
        <w:rPr>
          <w:lang w:val="fr-FR"/>
        </w:rPr>
        <w:t>.</w:t>
      </w:r>
      <w:r w:rsidRPr="00D76FCD">
        <w:rPr>
          <w:lang w:val="fr-FR"/>
        </w:rPr>
        <w:t>Sfântul Ioan Gură de Aur spune : „</w:t>
      </w:r>
      <w:r w:rsidRPr="00D76FCD">
        <w:rPr>
          <w:i/>
          <w:lang w:val="fr-FR"/>
        </w:rPr>
        <w:t>Pentru ca noi să fim acestea nu numai după dragoste, ci şi realmente, să ne unim cu acest trup. Devenim acest trup prin hrana pe care El ne-a dat-o, voind să ne arate dragostea pe care o are pentru noi. Pentru aceea S-a unit cu noi şi a unit cu noi Trupul Său, pentru ca să fim una, aşa cum trupul este unit cu capul ... Acestea (pâinea şi vinul) nu devin Trupul şi Sângele Domnului fără sfinţire şi fără Acela Care este Izvorul sfinţirii. Acela Care a săvârşit-o cu prilejul Sfintei Cine este Acelaşi Care realizează Euharistia şi acum. El e Acela Care sfinţeşte şi preface. Nici un Iuda, nici un iubitor de arginţi să</w:t>
      </w:r>
      <w:r w:rsidRPr="00D76FCD">
        <w:rPr>
          <w:lang w:val="fr-FR"/>
        </w:rPr>
        <w:t xml:space="preserve"> </w:t>
      </w:r>
      <w:r w:rsidRPr="00D76FCD">
        <w:rPr>
          <w:i/>
          <w:lang w:val="fr-FR"/>
        </w:rPr>
        <w:t>nu fie de faţă! Dacă cineva nu este ucenic, să se retragă. Masa euharistică nu e accesibilă unor asemenea oameni ( Mântuitorul spune - Matei 6, 18 - : „Voiesc să prăznuiesc Pastile cu ucenicii Mei")- Să se apropie cel ce este sfânt. Dacă cineva nu este sfânt, să se pocăiască". „Aceia care se împărtăşesc – spune Clement Alexandrinul - sfinţesc şi trupurile şi sufletele lor"</w:t>
      </w:r>
      <w:r w:rsidRPr="00D76FCD">
        <w:rPr>
          <w:rStyle w:val="FootnoteReference"/>
          <w:i/>
          <w:lang w:val="fr-FR"/>
        </w:rPr>
        <w:footnoteReference w:id="38"/>
      </w:r>
      <w:r w:rsidRPr="00D76FCD">
        <w:rPr>
          <w:i/>
          <w:lang w:val="fr-FR"/>
        </w:rPr>
        <w:t>230.</w:t>
      </w:r>
    </w:p>
    <w:p w:rsidR="00A7733F" w:rsidRPr="00D76FCD" w:rsidRDefault="00A7733F" w:rsidP="00A7733F">
      <w:pPr>
        <w:autoSpaceDE w:val="0"/>
        <w:autoSpaceDN w:val="0"/>
        <w:adjustRightInd w:val="0"/>
        <w:spacing w:line="360" w:lineRule="auto"/>
        <w:jc w:val="both"/>
        <w:rPr>
          <w:lang w:val="fr-FR"/>
        </w:rPr>
      </w:pPr>
      <w:r w:rsidRPr="00D76FCD">
        <w:rPr>
          <w:iCs/>
          <w:lang w:val="fr-FR"/>
        </w:rPr>
        <w:tab/>
        <w:t xml:space="preserve">Deci,, </w:t>
      </w:r>
      <w:r w:rsidRPr="00D76FCD">
        <w:rPr>
          <w:i/>
          <w:iCs/>
          <w:lang w:val="fr-FR"/>
        </w:rPr>
        <w:t>frate creştine</w:t>
      </w:r>
      <w:r w:rsidRPr="00D76FCD">
        <w:rPr>
          <w:iCs/>
          <w:lang w:val="fr-FR"/>
        </w:rPr>
        <w:t xml:space="preserve"> – </w:t>
      </w:r>
      <w:r w:rsidRPr="00D76FCD">
        <w:rPr>
          <w:lang w:val="fr-FR"/>
        </w:rPr>
        <w:t xml:space="preserve">zice Ilie Miniat </w:t>
      </w:r>
      <w:r w:rsidRPr="00D76FCD">
        <w:rPr>
          <w:iCs/>
          <w:lang w:val="fr-FR"/>
        </w:rPr>
        <w:t xml:space="preserve">- </w:t>
      </w:r>
      <w:r w:rsidRPr="00D76FCD">
        <w:rPr>
          <w:i/>
          <w:iCs/>
          <w:lang w:val="fr-FR"/>
        </w:rPr>
        <w:t>o dată ce te-ai împărtăşit, ţine bine să nu-ţi cadă mărgăritarul cel de mult preţ. Păzeşte-l din toate părţile, să nu ţi-l răpească cel viclean din sufletul tău! Te-ai sfinţit cu cele sfinte? Trăieşte ca un sfânt, Te-ai unit cu Hristos? Rămâi cu Hristos,,</w:t>
      </w:r>
      <w:r w:rsidRPr="00D76FCD">
        <w:rPr>
          <w:rStyle w:val="FootnoteReference"/>
          <w:i/>
          <w:iCs/>
          <w:lang w:val="fr-FR"/>
        </w:rPr>
        <w:footnoteReference w:id="39"/>
      </w:r>
      <w:r w:rsidRPr="00D76FCD">
        <w:rPr>
          <w:iCs/>
          <w:lang w:val="fr-FR"/>
        </w:rPr>
        <w:t>.</w:t>
      </w:r>
    </w:p>
    <w:p w:rsidR="005566C5" w:rsidRDefault="005566C5"/>
    <w:p w:rsidR="00275413" w:rsidRDefault="00275413"/>
    <w:p w:rsidR="00275413" w:rsidRDefault="00275413"/>
    <w:p w:rsidR="00275413" w:rsidRPr="00275413" w:rsidRDefault="00275413" w:rsidP="00275413">
      <w:pPr>
        <w:jc w:val="right"/>
        <w:rPr>
          <w:b/>
        </w:rPr>
      </w:pPr>
      <w:r w:rsidRPr="00275413">
        <w:rPr>
          <w:b/>
        </w:rPr>
        <w:t>Pr. Ursache Mihai</w:t>
      </w:r>
    </w:p>
    <w:sectPr w:rsidR="00275413" w:rsidRPr="00275413" w:rsidSect="005566C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75C" w:rsidRDefault="008C575C" w:rsidP="00A7733F">
      <w:r>
        <w:separator/>
      </w:r>
    </w:p>
  </w:endnote>
  <w:endnote w:type="continuationSeparator" w:id="1">
    <w:p w:rsidR="008C575C" w:rsidRDefault="008C575C" w:rsidP="00A773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OldStyle">
    <w:altName w:val="Times New Roman"/>
    <w:panose1 w:val="00000000000000000000"/>
    <w:charset w:val="00"/>
    <w:family w:val="roman"/>
    <w:notTrueType/>
    <w:pitch w:val="default"/>
    <w:sig w:usb0="00000007" w:usb1="00000000" w:usb2="00000000" w:usb3="00000000" w:csb0="00000003" w:csb1="00000000"/>
  </w:font>
  <w:font w:name="BookmanOldStyle-Italic">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75C" w:rsidRDefault="008C575C" w:rsidP="00A7733F">
      <w:r>
        <w:separator/>
      </w:r>
    </w:p>
  </w:footnote>
  <w:footnote w:type="continuationSeparator" w:id="1">
    <w:p w:rsidR="008C575C" w:rsidRDefault="008C575C" w:rsidP="00A7733F">
      <w:r>
        <w:continuationSeparator/>
      </w:r>
    </w:p>
  </w:footnote>
  <w:footnote w:id="2">
    <w:p w:rsidR="00A7733F" w:rsidRDefault="00A7733F" w:rsidP="00A7733F">
      <w:pPr>
        <w:pStyle w:val="FootnoteText"/>
      </w:pPr>
      <w:r>
        <w:rPr>
          <w:rStyle w:val="FootnoteReference"/>
        </w:rPr>
        <w:footnoteRef/>
      </w:r>
      <w:r>
        <w:t xml:space="preserve"> </w:t>
      </w:r>
      <w:r w:rsidRPr="007A3232">
        <w:rPr>
          <w:lang w:val="en-GB"/>
        </w:rPr>
        <w:t>Ganea</w:t>
      </w:r>
      <w:r w:rsidRPr="007A3232">
        <w:rPr>
          <w:i/>
          <w:iCs/>
          <w:sz w:val="13"/>
          <w:szCs w:val="13"/>
          <w:lang w:val="en-GB"/>
        </w:rPr>
        <w:t xml:space="preserve"> </w:t>
      </w:r>
      <w:r w:rsidRPr="007A3232">
        <w:rPr>
          <w:lang w:val="en-GB"/>
        </w:rPr>
        <w:t xml:space="preserve"> Ioasaf, Protos, </w:t>
      </w:r>
      <w:r w:rsidRPr="007A3232">
        <w:rPr>
          <w:b/>
          <w:i/>
          <w:iCs/>
          <w:lang w:val="en-GB"/>
        </w:rPr>
        <w:t>Taina Sfintei Euharistii, mijloc de mântuire</w:t>
      </w:r>
      <w:r w:rsidRPr="007A3232">
        <w:rPr>
          <w:i/>
          <w:iCs/>
          <w:lang w:val="en-GB"/>
        </w:rPr>
        <w:t xml:space="preserve">, </w:t>
      </w:r>
      <w:r w:rsidRPr="007A3232">
        <w:t>în rev, ,,Mitropolia Moldovei şi Sucevei”, nr</w:t>
      </w:r>
      <w:r>
        <w:rPr>
          <w:lang w:val="en-GB"/>
        </w:rPr>
        <w:t xml:space="preserve"> 5, 1988, pg. 67</w:t>
      </w:r>
      <w:r w:rsidRPr="007A3232">
        <w:rPr>
          <w:lang w:val="en-GB"/>
        </w:rPr>
        <w:t>.</w:t>
      </w:r>
    </w:p>
  </w:footnote>
  <w:footnote w:id="3">
    <w:p w:rsidR="00A7733F" w:rsidRPr="005E75F6" w:rsidRDefault="00A7733F" w:rsidP="00A7733F">
      <w:pPr>
        <w:autoSpaceDE w:val="0"/>
        <w:autoSpaceDN w:val="0"/>
        <w:adjustRightInd w:val="0"/>
        <w:rPr>
          <w:rFonts w:ascii="BookmanOldStyle" w:hAnsi="BookmanOldStyle" w:cs="BookmanOldStyle"/>
          <w:sz w:val="20"/>
          <w:szCs w:val="20"/>
        </w:rPr>
      </w:pPr>
      <w:r>
        <w:rPr>
          <w:rStyle w:val="FootnoteReference"/>
        </w:rPr>
        <w:footnoteRef/>
      </w:r>
      <w:r w:rsidRPr="005E75F6">
        <w:rPr>
          <w:rFonts w:ascii="BookmanOldStyle" w:hAnsi="BookmanOldStyle" w:cs="BookmanOldStyle"/>
          <w:sz w:val="20"/>
          <w:szCs w:val="20"/>
        </w:rPr>
        <w:t xml:space="preserve">Mihoc Vasile Pr. Asistent Dr. , </w:t>
      </w:r>
      <w:r w:rsidRPr="005E75F6">
        <w:rPr>
          <w:rFonts w:ascii="BookmanOldStyle-Italic" w:hAnsi="BookmanOldStyle-Italic" w:cs="BookmanOldStyle-Italic"/>
          <w:b/>
          <w:i/>
          <w:iCs/>
          <w:sz w:val="20"/>
          <w:szCs w:val="20"/>
        </w:rPr>
        <w:t>Sfintele Taine, mijloace de mântuire si sfinţire a credincioşilor,</w:t>
      </w:r>
      <w:r w:rsidRPr="005E75F6">
        <w:rPr>
          <w:rFonts w:ascii="BookmanOldStyle-Italic" w:hAnsi="BookmanOldStyle-Italic" w:cs="BookmanOldStyle-Italic"/>
          <w:iCs/>
          <w:sz w:val="20"/>
          <w:szCs w:val="20"/>
        </w:rPr>
        <w:t xml:space="preserve"> în rev. Mitropolia Ardealului, nr.</w:t>
      </w:r>
      <w:r w:rsidRPr="005E75F6">
        <w:rPr>
          <w:rFonts w:ascii="BookmanOldStyle" w:hAnsi="BookmanOldStyle" w:cs="BookmanOldStyle"/>
          <w:sz w:val="20"/>
          <w:szCs w:val="20"/>
        </w:rPr>
        <w:t>7-8, 1983, pg. 447.</w:t>
      </w:r>
    </w:p>
    <w:p w:rsidR="00A7733F" w:rsidRDefault="00A7733F" w:rsidP="00A7733F">
      <w:pPr>
        <w:pStyle w:val="FootnoteText"/>
      </w:pPr>
    </w:p>
  </w:footnote>
  <w:footnote w:id="4">
    <w:p w:rsidR="00A7733F" w:rsidRDefault="00A7733F" w:rsidP="00A7733F">
      <w:pPr>
        <w:pStyle w:val="FootnoteText"/>
      </w:pPr>
      <w:r>
        <w:rPr>
          <w:rStyle w:val="FootnoteReference"/>
        </w:rPr>
        <w:footnoteRef/>
      </w:r>
      <w:r>
        <w:t xml:space="preserve"> </w:t>
      </w:r>
      <w:r w:rsidRPr="004079ED">
        <w:rPr>
          <w:b/>
          <w:i/>
        </w:rPr>
        <w:t>Îndemnuri şi rugăciuni pentru spovedanie şi împărtăşanie</w:t>
      </w:r>
      <w:r>
        <w:t>, Editura Trinitas, Iaşi, 1998, pg. 8.</w:t>
      </w:r>
    </w:p>
  </w:footnote>
  <w:footnote w:id="5">
    <w:p w:rsidR="00A7733F" w:rsidRDefault="00A7733F" w:rsidP="00A7733F">
      <w:pPr>
        <w:pStyle w:val="FootnoteText"/>
      </w:pPr>
      <w:r>
        <w:rPr>
          <w:rStyle w:val="FootnoteReference"/>
        </w:rPr>
        <w:footnoteRef/>
      </w:r>
      <w:r>
        <w:t xml:space="preserve"> </w:t>
      </w:r>
      <w:r w:rsidRPr="00351EC7">
        <w:rPr>
          <w:lang w:val="pl-PL"/>
        </w:rPr>
        <w:t>Ioan 6, 35, 47, 51, 53-56.</w:t>
      </w:r>
    </w:p>
  </w:footnote>
  <w:footnote w:id="6">
    <w:p w:rsidR="00A7733F" w:rsidRDefault="00A7733F" w:rsidP="00A7733F">
      <w:pPr>
        <w:pStyle w:val="FootnoteText"/>
      </w:pPr>
      <w:r>
        <w:rPr>
          <w:rStyle w:val="FootnoteReference"/>
        </w:rPr>
        <w:footnoteRef/>
      </w:r>
      <w:r>
        <w:t xml:space="preserve"> </w:t>
      </w:r>
      <w:r w:rsidRPr="00351EC7">
        <w:rPr>
          <w:lang w:val="pl-PL"/>
        </w:rPr>
        <w:t>Matei 26, 26-28.</w:t>
      </w:r>
    </w:p>
  </w:footnote>
  <w:footnote w:id="7">
    <w:p w:rsidR="00A7733F" w:rsidRPr="00351EC7" w:rsidRDefault="00A7733F" w:rsidP="00A7733F">
      <w:pPr>
        <w:pStyle w:val="FootnoteText"/>
        <w:rPr>
          <w:lang w:val="pl-PL"/>
        </w:rPr>
      </w:pPr>
      <w:r>
        <w:rPr>
          <w:rStyle w:val="FootnoteReference"/>
        </w:rPr>
        <w:footnoteRef/>
      </w:r>
      <w:r>
        <w:t xml:space="preserve"> </w:t>
      </w:r>
      <w:r>
        <w:rPr>
          <w:lang w:val="pl-PL"/>
        </w:rPr>
        <w:t>Luca 22, 19; I Cor. 11, 25</w:t>
      </w:r>
    </w:p>
  </w:footnote>
  <w:footnote w:id="8">
    <w:p w:rsidR="00A7733F" w:rsidRDefault="00A7733F" w:rsidP="00A7733F">
      <w:pPr>
        <w:pStyle w:val="FootnoteText"/>
      </w:pPr>
      <w:r>
        <w:rPr>
          <w:rStyle w:val="FootnoteReference"/>
        </w:rPr>
        <w:footnoteRef/>
      </w:r>
      <w:r>
        <w:t xml:space="preserve"> </w:t>
      </w:r>
      <w:r>
        <w:rPr>
          <w:lang w:val="fr-FR"/>
        </w:rPr>
        <w:t>I Cor. 11,  26</w:t>
      </w:r>
      <w:r w:rsidRPr="00D76FCD">
        <w:rPr>
          <w:lang w:val="fr-FR"/>
        </w:rPr>
        <w:t>.</w:t>
      </w:r>
    </w:p>
  </w:footnote>
  <w:footnote w:id="9">
    <w:p w:rsidR="00A7733F" w:rsidRDefault="00A7733F" w:rsidP="00A7733F">
      <w:pPr>
        <w:pStyle w:val="FootnoteText"/>
      </w:pPr>
      <w:r>
        <w:rPr>
          <w:rStyle w:val="FootnoteReference"/>
        </w:rPr>
        <w:footnoteRef/>
      </w:r>
      <w:r>
        <w:t xml:space="preserve"> </w:t>
      </w:r>
      <w:r>
        <w:rPr>
          <w:rFonts w:ascii="BookmanOldStyle" w:hAnsi="BookmanOldStyle" w:cs="BookmanOldStyle"/>
        </w:rPr>
        <w:t>Idem,</w:t>
      </w:r>
      <w:r w:rsidRPr="005E75F6">
        <w:rPr>
          <w:rFonts w:ascii="BookmanOldStyle" w:hAnsi="BookmanOldStyle" w:cs="BookmanOldStyle"/>
        </w:rPr>
        <w:t xml:space="preserve"> pg. 450.</w:t>
      </w:r>
    </w:p>
  </w:footnote>
  <w:footnote w:id="10">
    <w:p w:rsidR="00A7733F" w:rsidRDefault="00A7733F" w:rsidP="00A7733F">
      <w:pPr>
        <w:pStyle w:val="FootnoteText"/>
      </w:pPr>
      <w:r>
        <w:rPr>
          <w:rStyle w:val="FootnoteReference"/>
        </w:rPr>
        <w:footnoteRef/>
      </w:r>
      <w:r>
        <w:t xml:space="preserve"> </w:t>
      </w:r>
      <w:r w:rsidRPr="00D76FCD">
        <w:rPr>
          <w:lang w:val="fr-FR"/>
        </w:rPr>
        <w:t xml:space="preserve">Ioan </w:t>
      </w:r>
      <w:r>
        <w:rPr>
          <w:lang w:val="fr-FR"/>
        </w:rPr>
        <w:t>6, 56</w:t>
      </w:r>
      <w:r w:rsidRPr="00D76FCD">
        <w:rPr>
          <w:lang w:val="fr-FR"/>
        </w:rPr>
        <w:t>.</w:t>
      </w:r>
    </w:p>
  </w:footnote>
  <w:footnote w:id="11">
    <w:p w:rsidR="00A7733F" w:rsidRPr="00F24FFA" w:rsidRDefault="00A7733F" w:rsidP="00A7733F">
      <w:pPr>
        <w:autoSpaceDE w:val="0"/>
        <w:autoSpaceDN w:val="0"/>
        <w:adjustRightInd w:val="0"/>
        <w:jc w:val="both"/>
        <w:rPr>
          <w:sz w:val="20"/>
          <w:szCs w:val="20"/>
        </w:rPr>
      </w:pPr>
      <w:r w:rsidRPr="00F24FFA">
        <w:rPr>
          <w:rStyle w:val="FootnoteReference"/>
          <w:sz w:val="20"/>
          <w:szCs w:val="20"/>
        </w:rPr>
        <w:footnoteRef/>
      </w:r>
      <w:r w:rsidRPr="00F24FFA">
        <w:rPr>
          <w:sz w:val="20"/>
          <w:szCs w:val="20"/>
        </w:rPr>
        <w:t xml:space="preserve"> </w:t>
      </w:r>
      <w:r w:rsidRPr="001850B5">
        <w:rPr>
          <w:sz w:val="20"/>
          <w:szCs w:val="20"/>
          <w:lang w:val="nb-NO"/>
        </w:rPr>
        <w:t>Todoran Simion,</w:t>
      </w:r>
      <w:r w:rsidRPr="001850B5">
        <w:rPr>
          <w:i/>
          <w:iCs/>
          <w:sz w:val="20"/>
          <w:szCs w:val="20"/>
          <w:lang w:val="nb-NO"/>
        </w:rPr>
        <w:t xml:space="preserve"> </w:t>
      </w:r>
      <w:r w:rsidRPr="001850B5">
        <w:rPr>
          <w:sz w:val="20"/>
          <w:szCs w:val="20"/>
          <w:lang w:val="nb-NO"/>
        </w:rPr>
        <w:t xml:space="preserve">Drd. </w:t>
      </w:r>
      <w:r w:rsidRPr="001850B5">
        <w:rPr>
          <w:b/>
          <w:i/>
          <w:iCs/>
          <w:sz w:val="20"/>
          <w:szCs w:val="20"/>
          <w:lang w:val="nb-NO"/>
        </w:rPr>
        <w:t>Sfânta Euharistie - studiu exegetic</w:t>
      </w:r>
      <w:r w:rsidRPr="001850B5">
        <w:rPr>
          <w:i/>
          <w:iCs/>
          <w:sz w:val="20"/>
          <w:szCs w:val="20"/>
          <w:lang w:val="nb-NO"/>
        </w:rPr>
        <w:t xml:space="preserve"> , </w:t>
      </w:r>
      <w:r w:rsidRPr="00B57505">
        <w:rPr>
          <w:sz w:val="20"/>
          <w:szCs w:val="20"/>
        </w:rPr>
        <w:t>în rev</w:t>
      </w:r>
      <w:r w:rsidRPr="001850B5">
        <w:rPr>
          <w:i/>
          <w:iCs/>
          <w:sz w:val="20"/>
          <w:szCs w:val="20"/>
          <w:lang w:val="nb-NO"/>
        </w:rPr>
        <w:t xml:space="preserve"> </w:t>
      </w:r>
      <w:r w:rsidRPr="001850B5">
        <w:rPr>
          <w:sz w:val="20"/>
          <w:szCs w:val="20"/>
          <w:lang w:val="nb-NO"/>
        </w:rPr>
        <w:t>B.O. R., nr. 9-10, 1982</w:t>
      </w:r>
      <w:r w:rsidRPr="005E75F6">
        <w:rPr>
          <w:sz w:val="20"/>
          <w:szCs w:val="20"/>
        </w:rPr>
        <w:t>, pg. 841</w:t>
      </w:r>
    </w:p>
  </w:footnote>
  <w:footnote w:id="12">
    <w:p w:rsidR="00A7733F" w:rsidRPr="00D3479F" w:rsidRDefault="00A7733F" w:rsidP="00A7733F">
      <w:pPr>
        <w:autoSpaceDE w:val="0"/>
        <w:autoSpaceDN w:val="0"/>
        <w:adjustRightInd w:val="0"/>
        <w:jc w:val="both"/>
        <w:rPr>
          <w:sz w:val="20"/>
          <w:szCs w:val="20"/>
        </w:rPr>
      </w:pPr>
      <w:r w:rsidRPr="00D3479F">
        <w:rPr>
          <w:rStyle w:val="FootnoteReference"/>
          <w:sz w:val="20"/>
          <w:szCs w:val="20"/>
        </w:rPr>
        <w:footnoteRef/>
      </w:r>
      <w:r w:rsidRPr="00D3479F">
        <w:rPr>
          <w:sz w:val="20"/>
          <w:szCs w:val="20"/>
        </w:rPr>
        <w:t xml:space="preserve"> Coman G.Ioan Pr.Prof, </w:t>
      </w:r>
      <w:r w:rsidRPr="00D3479F">
        <w:rPr>
          <w:b/>
          <w:i/>
          <w:sz w:val="20"/>
          <w:szCs w:val="20"/>
        </w:rPr>
        <w:t>Sensul ecumenic al Sfintei Euharistii la Sfântul Ioan Gură de Aur</w:t>
      </w:r>
      <w:r w:rsidRPr="00D3479F">
        <w:rPr>
          <w:sz w:val="20"/>
          <w:szCs w:val="20"/>
        </w:rPr>
        <w:t>, în rev ,,Ortodoxia”,nr. 4, 1965, pg. 529</w:t>
      </w:r>
    </w:p>
  </w:footnote>
  <w:footnote w:id="13">
    <w:p w:rsidR="00A7733F" w:rsidRPr="00D3479F" w:rsidRDefault="00A7733F" w:rsidP="00A7733F">
      <w:pPr>
        <w:ind w:left="360"/>
        <w:rPr>
          <w:sz w:val="20"/>
          <w:szCs w:val="20"/>
        </w:rPr>
      </w:pPr>
      <w:r w:rsidRPr="00D3479F">
        <w:rPr>
          <w:rStyle w:val="FootnoteReference"/>
          <w:sz w:val="20"/>
          <w:szCs w:val="20"/>
        </w:rPr>
        <w:footnoteRef/>
      </w:r>
      <w:r w:rsidRPr="00D3479F">
        <w:rPr>
          <w:sz w:val="20"/>
          <w:szCs w:val="20"/>
        </w:rPr>
        <w:t xml:space="preserve"> Vintilescu Petre Pr. </w:t>
      </w:r>
      <w:r w:rsidRPr="00AB39E0">
        <w:rPr>
          <w:b/>
          <w:i/>
          <w:sz w:val="20"/>
          <w:szCs w:val="20"/>
        </w:rPr>
        <w:t>Spovedanie şi duhovnicie</w:t>
      </w:r>
      <w:r w:rsidRPr="00D3479F">
        <w:rPr>
          <w:sz w:val="20"/>
          <w:szCs w:val="20"/>
        </w:rPr>
        <w:t xml:space="preserve"> , Alba Iulia ,1995, pag. 25.</w:t>
      </w:r>
    </w:p>
  </w:footnote>
  <w:footnote w:id="14">
    <w:p w:rsidR="00A7733F" w:rsidRPr="00D3479F" w:rsidRDefault="00A7733F" w:rsidP="00A7733F">
      <w:pPr>
        <w:rPr>
          <w:sz w:val="20"/>
          <w:szCs w:val="20"/>
        </w:rPr>
      </w:pPr>
      <w:r w:rsidRPr="00D3479F">
        <w:rPr>
          <w:rStyle w:val="FootnoteReference"/>
          <w:sz w:val="20"/>
          <w:szCs w:val="20"/>
        </w:rPr>
        <w:footnoteRef/>
      </w:r>
      <w:r w:rsidRPr="00D3479F">
        <w:rPr>
          <w:sz w:val="20"/>
          <w:szCs w:val="20"/>
        </w:rPr>
        <w:t xml:space="preserve"> Ibidem.</w:t>
      </w:r>
    </w:p>
  </w:footnote>
  <w:footnote w:id="15">
    <w:p w:rsidR="00A7733F" w:rsidRPr="00D3479F" w:rsidRDefault="00A7733F" w:rsidP="00A7733F">
      <w:pPr>
        <w:autoSpaceDE w:val="0"/>
        <w:autoSpaceDN w:val="0"/>
        <w:adjustRightInd w:val="0"/>
        <w:jc w:val="both"/>
        <w:rPr>
          <w:sz w:val="20"/>
          <w:szCs w:val="20"/>
        </w:rPr>
      </w:pPr>
      <w:r w:rsidRPr="00D3479F">
        <w:rPr>
          <w:rStyle w:val="FootnoteReference"/>
          <w:sz w:val="20"/>
          <w:szCs w:val="20"/>
        </w:rPr>
        <w:footnoteRef/>
      </w:r>
      <w:r w:rsidRPr="00D3479F">
        <w:rPr>
          <w:sz w:val="20"/>
          <w:szCs w:val="20"/>
        </w:rPr>
        <w:t xml:space="preserve"> Buzdugan Costache Prof., </w:t>
      </w:r>
      <w:r w:rsidRPr="00D3479F">
        <w:rPr>
          <w:b/>
          <w:i/>
          <w:sz w:val="20"/>
          <w:szCs w:val="20"/>
        </w:rPr>
        <w:t>Dumnezeiasca Euharistie - Taina a unităţii Bisericii la Fer</w:t>
      </w:r>
      <w:r>
        <w:rPr>
          <w:b/>
          <w:i/>
          <w:sz w:val="20"/>
          <w:szCs w:val="20"/>
        </w:rPr>
        <w:t>.</w:t>
      </w:r>
      <w:r w:rsidRPr="00D3479F">
        <w:rPr>
          <w:b/>
          <w:i/>
          <w:sz w:val="20"/>
          <w:szCs w:val="20"/>
        </w:rPr>
        <w:t xml:space="preserve"> Augustin</w:t>
      </w:r>
      <w:r w:rsidRPr="00D3479F">
        <w:rPr>
          <w:sz w:val="20"/>
          <w:szCs w:val="20"/>
        </w:rPr>
        <w:t>, în rev, ,,Mitropolia Moldovei şi Sucevei”, nr. 1- 2, 1973, pg. 57</w:t>
      </w:r>
    </w:p>
  </w:footnote>
  <w:footnote w:id="16">
    <w:p w:rsidR="00A7733F" w:rsidRPr="00134D63" w:rsidRDefault="00A7733F" w:rsidP="00A7733F">
      <w:pPr>
        <w:pStyle w:val="FootnoteText"/>
        <w:rPr>
          <w:lang w:val="en-GB"/>
        </w:rPr>
      </w:pPr>
      <w:r>
        <w:rPr>
          <w:rStyle w:val="FootnoteReference"/>
        </w:rPr>
        <w:footnoteRef/>
      </w:r>
      <w:r>
        <w:t xml:space="preserve"> </w:t>
      </w:r>
      <w:r w:rsidRPr="000E29D4">
        <w:t>Coman G.Ioan Pr.Prof</w:t>
      </w:r>
      <w:r>
        <w:t>. , op. cit. ,</w:t>
      </w:r>
      <w:r w:rsidRPr="00134D63">
        <w:rPr>
          <w:sz w:val="28"/>
          <w:szCs w:val="28"/>
          <w:lang w:val="en-GB"/>
        </w:rPr>
        <w:t xml:space="preserve"> </w:t>
      </w:r>
      <w:r w:rsidRPr="00134D63">
        <w:rPr>
          <w:lang w:val="en-GB"/>
        </w:rPr>
        <w:t xml:space="preserve"> p</w:t>
      </w:r>
      <w:r>
        <w:rPr>
          <w:lang w:val="en-GB"/>
        </w:rPr>
        <w:t>g</w:t>
      </w:r>
      <w:r w:rsidRPr="00134D63">
        <w:rPr>
          <w:lang w:val="en-GB"/>
        </w:rPr>
        <w:t>. 530</w:t>
      </w:r>
      <w:r>
        <w:rPr>
          <w:lang w:val="en-GB"/>
        </w:rPr>
        <w:t>.</w:t>
      </w:r>
    </w:p>
  </w:footnote>
  <w:footnote w:id="17">
    <w:p w:rsidR="00A7733F" w:rsidRPr="00B77125" w:rsidRDefault="00A7733F" w:rsidP="00A7733F">
      <w:pPr>
        <w:autoSpaceDE w:val="0"/>
        <w:autoSpaceDN w:val="0"/>
        <w:adjustRightInd w:val="0"/>
        <w:rPr>
          <w:sz w:val="20"/>
          <w:szCs w:val="20"/>
          <w:lang w:val="en-GB"/>
        </w:rPr>
      </w:pPr>
      <w:r w:rsidRPr="00B77125">
        <w:rPr>
          <w:rStyle w:val="FootnoteReference"/>
          <w:sz w:val="20"/>
          <w:szCs w:val="20"/>
        </w:rPr>
        <w:footnoteRef/>
      </w:r>
      <w:r w:rsidRPr="00B77125">
        <w:rPr>
          <w:sz w:val="20"/>
          <w:szCs w:val="20"/>
        </w:rPr>
        <w:t xml:space="preserve"> </w:t>
      </w:r>
      <w:r w:rsidRPr="00B77125">
        <w:rPr>
          <w:rFonts w:ascii="BookmanOldStyle" w:hAnsi="BookmanOldStyle" w:cs="BookmanOldStyle"/>
          <w:sz w:val="20"/>
          <w:szCs w:val="20"/>
          <w:lang w:val="en-GB"/>
        </w:rPr>
        <w:t>Murariu</w:t>
      </w:r>
      <w:r w:rsidRPr="00B77125">
        <w:rPr>
          <w:rFonts w:ascii="BookmanOldStyle-Italic" w:hAnsi="BookmanOldStyle-Italic" w:cs="BookmanOldStyle-Italic"/>
          <w:i/>
          <w:iCs/>
          <w:sz w:val="20"/>
          <w:szCs w:val="20"/>
          <w:lang w:val="en-GB"/>
        </w:rPr>
        <w:t xml:space="preserve"> </w:t>
      </w:r>
      <w:r w:rsidRPr="00B77125">
        <w:rPr>
          <w:rFonts w:ascii="BookmanOldStyle" w:hAnsi="BookmanOldStyle" w:cs="BookmanOldStyle"/>
          <w:sz w:val="20"/>
          <w:szCs w:val="20"/>
          <w:lang w:val="en-GB"/>
        </w:rPr>
        <w:t>Dosoftei</w:t>
      </w:r>
      <w:r w:rsidRPr="00B77125">
        <w:rPr>
          <w:rFonts w:ascii="BookmanOldStyle" w:hAnsi="BookmanOldStyle" w:cs="BookmanOldStyle"/>
          <w:b/>
          <w:sz w:val="20"/>
          <w:szCs w:val="20"/>
          <w:lang w:val="en-GB"/>
        </w:rPr>
        <w:t xml:space="preserve">, </w:t>
      </w:r>
      <w:r w:rsidRPr="00B77125">
        <w:rPr>
          <w:rFonts w:ascii="BookmanOldStyle-Italic" w:hAnsi="BookmanOldStyle-Italic" w:cs="BookmanOldStyle-Italic"/>
          <w:b/>
          <w:i/>
          <w:iCs/>
          <w:sz w:val="20"/>
          <w:szCs w:val="20"/>
          <w:lang w:val="en-GB"/>
        </w:rPr>
        <w:t>Despre unirea euharistică</w:t>
      </w:r>
      <w:r w:rsidRPr="00B77125">
        <w:rPr>
          <w:rFonts w:ascii="BookmanOldStyle-Italic" w:hAnsi="BookmanOldStyle-Italic" w:cs="BookmanOldStyle-Italic"/>
          <w:i/>
          <w:iCs/>
          <w:sz w:val="20"/>
          <w:szCs w:val="20"/>
          <w:lang w:val="en-GB"/>
        </w:rPr>
        <w:t xml:space="preserve">, </w:t>
      </w:r>
      <w:r w:rsidRPr="00B77125">
        <w:rPr>
          <w:sz w:val="20"/>
          <w:szCs w:val="20"/>
        </w:rPr>
        <w:t>în rev, ,,Mitropolia Moldovei şi Sucevei”, nr</w:t>
      </w:r>
      <w:r w:rsidRPr="00B77125">
        <w:rPr>
          <w:rFonts w:ascii="BookmanOldStyle" w:hAnsi="BookmanOldStyle" w:cs="BookmanOldStyle"/>
          <w:sz w:val="20"/>
          <w:szCs w:val="20"/>
          <w:lang w:val="en-GB"/>
        </w:rPr>
        <w:t xml:space="preserve"> 1-2, 1997, pg. 84.</w:t>
      </w:r>
    </w:p>
  </w:footnote>
  <w:footnote w:id="18">
    <w:p w:rsidR="00A7733F" w:rsidRDefault="00A7733F" w:rsidP="00A7733F">
      <w:pPr>
        <w:pStyle w:val="FootnoteText"/>
      </w:pPr>
      <w:r>
        <w:rPr>
          <w:rStyle w:val="FootnoteReference"/>
        </w:rPr>
        <w:footnoteRef/>
      </w:r>
      <w:r>
        <w:t xml:space="preserve"> </w:t>
      </w:r>
      <w:r>
        <w:rPr>
          <w:lang w:val="fr-FR"/>
        </w:rPr>
        <w:t>Galateni 2, 20</w:t>
      </w:r>
    </w:p>
  </w:footnote>
  <w:footnote w:id="19">
    <w:p w:rsidR="00A7733F" w:rsidRPr="00B77125" w:rsidRDefault="00A7733F" w:rsidP="00A7733F">
      <w:pPr>
        <w:autoSpaceDE w:val="0"/>
        <w:autoSpaceDN w:val="0"/>
        <w:adjustRightInd w:val="0"/>
        <w:jc w:val="both"/>
        <w:rPr>
          <w:sz w:val="20"/>
          <w:szCs w:val="20"/>
          <w:lang w:val="en-GB"/>
        </w:rPr>
      </w:pPr>
      <w:r w:rsidRPr="00B77125">
        <w:rPr>
          <w:rStyle w:val="FootnoteReference"/>
          <w:sz w:val="20"/>
          <w:szCs w:val="20"/>
        </w:rPr>
        <w:footnoteRef/>
      </w:r>
      <w:r w:rsidRPr="00B77125">
        <w:rPr>
          <w:sz w:val="20"/>
          <w:szCs w:val="20"/>
        </w:rPr>
        <w:t xml:space="preserve"> </w:t>
      </w:r>
      <w:r w:rsidRPr="00B77125">
        <w:rPr>
          <w:sz w:val="20"/>
          <w:szCs w:val="20"/>
          <w:lang w:val="en-GB"/>
        </w:rPr>
        <w:t xml:space="preserve">Stoica I.Drd </w:t>
      </w:r>
      <w:r w:rsidRPr="00B77125">
        <w:rPr>
          <w:b/>
          <w:i/>
          <w:sz w:val="20"/>
          <w:szCs w:val="20"/>
          <w:lang w:val="en-GB"/>
        </w:rPr>
        <w:t xml:space="preserve">,  </w:t>
      </w:r>
      <w:r w:rsidRPr="00B77125">
        <w:rPr>
          <w:b/>
          <w:i/>
          <w:iCs/>
          <w:sz w:val="20"/>
          <w:szCs w:val="20"/>
          <w:lang w:val="en-GB"/>
        </w:rPr>
        <w:t>Unirea credinciosului cu Hristos prin Sfintele Taine</w:t>
      </w:r>
      <w:r w:rsidRPr="00B77125">
        <w:rPr>
          <w:iCs/>
          <w:sz w:val="20"/>
          <w:szCs w:val="20"/>
          <w:lang w:val="en-GB"/>
        </w:rPr>
        <w:t xml:space="preserve">, </w:t>
      </w:r>
      <w:r w:rsidRPr="00B77125">
        <w:rPr>
          <w:sz w:val="20"/>
          <w:szCs w:val="20"/>
        </w:rPr>
        <w:t>în rev, ,,Mitropolia Moldovei şi Sucevei”, nr</w:t>
      </w:r>
      <w:r w:rsidRPr="00B77125">
        <w:rPr>
          <w:rFonts w:ascii="BookmanOldStyle" w:hAnsi="BookmanOldStyle" w:cs="BookmanOldStyle"/>
          <w:sz w:val="20"/>
          <w:szCs w:val="20"/>
          <w:lang w:val="en-GB"/>
        </w:rPr>
        <w:t xml:space="preserve"> </w:t>
      </w:r>
      <w:r w:rsidRPr="00B77125">
        <w:rPr>
          <w:sz w:val="20"/>
          <w:szCs w:val="20"/>
          <w:lang w:val="en-GB"/>
        </w:rPr>
        <w:t>3-6, 1979, pg. 288.</w:t>
      </w:r>
    </w:p>
  </w:footnote>
  <w:footnote w:id="20">
    <w:p w:rsidR="00A7733F" w:rsidRPr="00B57505" w:rsidRDefault="00A7733F" w:rsidP="00A7733F">
      <w:pPr>
        <w:autoSpaceDE w:val="0"/>
        <w:autoSpaceDN w:val="0"/>
        <w:adjustRightInd w:val="0"/>
        <w:jc w:val="both"/>
        <w:rPr>
          <w:sz w:val="20"/>
          <w:szCs w:val="20"/>
        </w:rPr>
      </w:pPr>
      <w:r w:rsidRPr="00B57505">
        <w:rPr>
          <w:rStyle w:val="FootnoteReference"/>
          <w:sz w:val="20"/>
          <w:szCs w:val="20"/>
        </w:rPr>
        <w:footnoteRef/>
      </w:r>
      <w:r w:rsidRPr="00B57505">
        <w:rPr>
          <w:iCs/>
          <w:sz w:val="20"/>
          <w:szCs w:val="20"/>
          <w:lang w:val="nb-NO"/>
        </w:rPr>
        <w:t xml:space="preserve"> </w:t>
      </w:r>
      <w:r w:rsidRPr="00B57505">
        <w:rPr>
          <w:sz w:val="20"/>
          <w:szCs w:val="20"/>
          <w:lang w:val="nb-NO"/>
        </w:rPr>
        <w:t>Idem, pg. 290</w:t>
      </w:r>
    </w:p>
  </w:footnote>
  <w:footnote w:id="21">
    <w:p w:rsidR="00A7733F" w:rsidRPr="005E75F6" w:rsidRDefault="00A7733F" w:rsidP="00A7733F">
      <w:pPr>
        <w:autoSpaceDE w:val="0"/>
        <w:autoSpaceDN w:val="0"/>
        <w:adjustRightInd w:val="0"/>
        <w:jc w:val="both"/>
        <w:rPr>
          <w:sz w:val="20"/>
          <w:szCs w:val="20"/>
          <w:lang w:val="nb-NO"/>
        </w:rPr>
      </w:pPr>
      <w:r w:rsidRPr="005E75F6">
        <w:rPr>
          <w:rStyle w:val="FootnoteReference"/>
          <w:sz w:val="20"/>
          <w:szCs w:val="20"/>
        </w:rPr>
        <w:footnoteRef/>
      </w:r>
      <w:r w:rsidRPr="005E75F6">
        <w:rPr>
          <w:sz w:val="20"/>
          <w:szCs w:val="20"/>
          <w:lang w:val="nb-NO"/>
        </w:rPr>
        <w:t>Leonte Lucian</w:t>
      </w:r>
      <w:r w:rsidRPr="005E75F6">
        <w:rPr>
          <w:iCs/>
          <w:sz w:val="20"/>
          <w:szCs w:val="20"/>
          <w:lang w:val="nb-NO"/>
        </w:rPr>
        <w:t xml:space="preserve"> </w:t>
      </w:r>
      <w:r w:rsidRPr="005E75F6">
        <w:rPr>
          <w:sz w:val="20"/>
          <w:szCs w:val="20"/>
          <w:lang w:val="nb-NO"/>
        </w:rPr>
        <w:t xml:space="preserve">Pr. </w:t>
      </w:r>
      <w:r w:rsidRPr="005E75F6">
        <w:rPr>
          <w:b/>
          <w:i/>
          <w:iCs/>
          <w:sz w:val="20"/>
          <w:szCs w:val="20"/>
          <w:lang w:val="nb-NO"/>
        </w:rPr>
        <w:t>Despre materia Tainelor în Dumnezeu</w:t>
      </w:r>
      <w:r w:rsidRPr="005E75F6">
        <w:rPr>
          <w:iCs/>
          <w:sz w:val="20"/>
          <w:szCs w:val="20"/>
          <w:lang w:val="nb-NO"/>
        </w:rPr>
        <w:t xml:space="preserve">, </w:t>
      </w:r>
      <w:r w:rsidRPr="005E75F6">
        <w:rPr>
          <w:sz w:val="20"/>
          <w:szCs w:val="20"/>
        </w:rPr>
        <w:t>în rev, ,,Mitropolia Moldovei şi Sucevei”, nr</w:t>
      </w:r>
      <w:r w:rsidRPr="005E75F6">
        <w:rPr>
          <w:sz w:val="20"/>
          <w:szCs w:val="20"/>
          <w:lang w:val="nb-NO"/>
        </w:rPr>
        <w:t xml:space="preserve"> 3, 1987, pg. 82-83.</w:t>
      </w:r>
    </w:p>
  </w:footnote>
  <w:footnote w:id="22">
    <w:p w:rsidR="00A7733F" w:rsidRPr="005E75F6" w:rsidRDefault="00A7733F" w:rsidP="00A7733F">
      <w:pPr>
        <w:autoSpaceDE w:val="0"/>
        <w:autoSpaceDN w:val="0"/>
        <w:adjustRightInd w:val="0"/>
        <w:jc w:val="both"/>
        <w:rPr>
          <w:sz w:val="20"/>
          <w:szCs w:val="20"/>
          <w:lang w:val="nb-NO"/>
        </w:rPr>
      </w:pPr>
      <w:r w:rsidRPr="005E75F6">
        <w:rPr>
          <w:rStyle w:val="FootnoteReference"/>
          <w:sz w:val="20"/>
          <w:szCs w:val="20"/>
        </w:rPr>
        <w:footnoteRef/>
      </w:r>
      <w:r w:rsidRPr="005E75F6">
        <w:rPr>
          <w:sz w:val="20"/>
          <w:szCs w:val="20"/>
          <w:lang w:val="nb-NO"/>
        </w:rPr>
        <w:t xml:space="preserve"> Andrecuţ Ioan Pr. Drd, </w:t>
      </w:r>
      <w:r w:rsidRPr="0047562B">
        <w:rPr>
          <w:b/>
          <w:i/>
          <w:sz w:val="20"/>
          <w:szCs w:val="20"/>
          <w:lang w:val="nb-NO"/>
        </w:rPr>
        <w:t>Pietismul sectant îndepărtare de la credinţa creştină ortodoxă</w:t>
      </w:r>
      <w:r w:rsidRPr="005E75F6">
        <w:rPr>
          <w:sz w:val="20"/>
          <w:szCs w:val="20"/>
          <w:lang w:val="nb-NO"/>
        </w:rPr>
        <w:t xml:space="preserve">, </w:t>
      </w:r>
      <w:r w:rsidRPr="005E75F6">
        <w:rPr>
          <w:sz w:val="20"/>
          <w:szCs w:val="20"/>
        </w:rPr>
        <w:t xml:space="preserve">în rev ,,Ortodoxia”,nr. </w:t>
      </w:r>
      <w:r w:rsidRPr="005E75F6">
        <w:rPr>
          <w:sz w:val="20"/>
          <w:szCs w:val="20"/>
          <w:lang w:val="nb-NO"/>
        </w:rPr>
        <w:t>1, 1989, pg. 63.</w:t>
      </w:r>
    </w:p>
  </w:footnote>
  <w:footnote w:id="23">
    <w:p w:rsidR="00A7733F" w:rsidRDefault="00A7733F" w:rsidP="00A7733F">
      <w:pPr>
        <w:pStyle w:val="FootnoteText"/>
      </w:pPr>
      <w:r>
        <w:rPr>
          <w:rStyle w:val="FootnoteReference"/>
        </w:rPr>
        <w:footnoteRef/>
      </w:r>
      <w:r>
        <w:t xml:space="preserve"> </w:t>
      </w:r>
      <w:r w:rsidRPr="005B4F21">
        <w:rPr>
          <w:lang w:val="pl-PL"/>
        </w:rPr>
        <w:t>Luca 22, 29-30.</w:t>
      </w:r>
    </w:p>
  </w:footnote>
  <w:footnote w:id="24">
    <w:p w:rsidR="00A7733F" w:rsidRPr="005B4F21" w:rsidRDefault="00A7733F" w:rsidP="00A7733F">
      <w:pPr>
        <w:autoSpaceDE w:val="0"/>
        <w:autoSpaceDN w:val="0"/>
        <w:adjustRightInd w:val="0"/>
        <w:rPr>
          <w:sz w:val="20"/>
          <w:szCs w:val="20"/>
          <w:lang w:val="pl-PL"/>
        </w:rPr>
      </w:pPr>
      <w:r w:rsidRPr="005E75F6">
        <w:rPr>
          <w:rStyle w:val="FootnoteReference"/>
          <w:sz w:val="20"/>
          <w:szCs w:val="20"/>
        </w:rPr>
        <w:footnoteRef/>
      </w:r>
      <w:r w:rsidRPr="005B4F21">
        <w:rPr>
          <w:i/>
          <w:iCs/>
          <w:sz w:val="20"/>
          <w:szCs w:val="20"/>
          <w:lang w:val="pl-PL"/>
        </w:rPr>
        <w:t xml:space="preserve"> </w:t>
      </w:r>
      <w:r w:rsidRPr="005B4F21">
        <w:rPr>
          <w:sz w:val="20"/>
          <w:szCs w:val="20"/>
          <w:lang w:val="pl-PL"/>
        </w:rPr>
        <w:t>Idem, pg. 60.</w:t>
      </w:r>
    </w:p>
  </w:footnote>
  <w:footnote w:id="25">
    <w:p w:rsidR="00A7733F" w:rsidRDefault="00A7733F" w:rsidP="00A7733F">
      <w:pPr>
        <w:pStyle w:val="FootnoteText"/>
      </w:pPr>
      <w:r>
        <w:rPr>
          <w:rStyle w:val="FootnoteReference"/>
        </w:rPr>
        <w:footnoteRef/>
      </w:r>
      <w:r>
        <w:t xml:space="preserve"> </w:t>
      </w:r>
      <w:r>
        <w:rPr>
          <w:lang w:val="fr-FR"/>
        </w:rPr>
        <w:t>Coloseni 3, 3</w:t>
      </w:r>
      <w:r w:rsidRPr="00D76FCD">
        <w:rPr>
          <w:lang w:val="fr-FR"/>
        </w:rPr>
        <w:t>.</w:t>
      </w:r>
    </w:p>
  </w:footnote>
  <w:footnote w:id="26">
    <w:p w:rsidR="00A7733F" w:rsidRPr="00B57505" w:rsidRDefault="00A7733F" w:rsidP="00A7733F">
      <w:pPr>
        <w:autoSpaceDE w:val="0"/>
        <w:autoSpaceDN w:val="0"/>
        <w:adjustRightInd w:val="0"/>
        <w:rPr>
          <w:sz w:val="20"/>
          <w:szCs w:val="20"/>
        </w:rPr>
      </w:pPr>
      <w:r w:rsidRPr="00B57505">
        <w:rPr>
          <w:rStyle w:val="FootnoteReference"/>
          <w:sz w:val="20"/>
          <w:szCs w:val="20"/>
        </w:rPr>
        <w:footnoteRef/>
      </w:r>
      <w:r w:rsidRPr="00B57505">
        <w:rPr>
          <w:sz w:val="20"/>
          <w:szCs w:val="20"/>
        </w:rPr>
        <w:t xml:space="preserve"> </w:t>
      </w:r>
      <w:r w:rsidRPr="005B4F21">
        <w:rPr>
          <w:sz w:val="20"/>
          <w:szCs w:val="20"/>
          <w:lang w:val="pl-PL"/>
        </w:rPr>
        <w:t>Idem, pg. 62.</w:t>
      </w:r>
    </w:p>
  </w:footnote>
  <w:footnote w:id="27">
    <w:p w:rsidR="00A7733F" w:rsidRPr="005E645F" w:rsidRDefault="00A7733F" w:rsidP="00A7733F">
      <w:pPr>
        <w:autoSpaceDE w:val="0"/>
        <w:autoSpaceDN w:val="0"/>
        <w:adjustRightInd w:val="0"/>
        <w:jc w:val="both"/>
        <w:rPr>
          <w:sz w:val="20"/>
          <w:szCs w:val="20"/>
        </w:rPr>
      </w:pPr>
      <w:r w:rsidRPr="00B57505">
        <w:rPr>
          <w:rStyle w:val="FootnoteReference"/>
          <w:sz w:val="20"/>
          <w:szCs w:val="20"/>
        </w:rPr>
        <w:footnoteRef/>
      </w:r>
      <w:r w:rsidRPr="00B57505">
        <w:rPr>
          <w:sz w:val="20"/>
          <w:szCs w:val="20"/>
        </w:rPr>
        <w:t>Turcu Ioan Pr.</w:t>
      </w:r>
      <w:r w:rsidRPr="005E645F">
        <w:rPr>
          <w:sz w:val="20"/>
          <w:szCs w:val="20"/>
        </w:rPr>
        <w:t xml:space="preserve"> Magistrand, Sfintele </w:t>
      </w:r>
      <w:r w:rsidRPr="005E645F">
        <w:rPr>
          <w:b/>
          <w:i/>
          <w:sz w:val="20"/>
          <w:szCs w:val="20"/>
        </w:rPr>
        <w:t>Taine si faptele bune în mântuire, Principialităţi de fiinţă, de funcţie şi de raport</w:t>
      </w:r>
      <w:r w:rsidRPr="005E645F">
        <w:rPr>
          <w:sz w:val="20"/>
          <w:szCs w:val="20"/>
        </w:rPr>
        <w:t>, în rev,,Studii Teologice, nr.5-6, 1999, pg. 319.</w:t>
      </w:r>
    </w:p>
  </w:footnote>
  <w:footnote w:id="28">
    <w:p w:rsidR="00A7733F" w:rsidRPr="005E645F" w:rsidRDefault="00A7733F" w:rsidP="00A7733F">
      <w:pPr>
        <w:pStyle w:val="FootnoteText"/>
        <w:jc w:val="both"/>
      </w:pPr>
      <w:r w:rsidRPr="005E645F">
        <w:rPr>
          <w:rStyle w:val="FootnoteReference"/>
        </w:rPr>
        <w:footnoteRef/>
      </w:r>
      <w:r w:rsidRPr="005E645F">
        <w:t xml:space="preserve"> Fecioru D. Pr.Prof</w:t>
      </w:r>
      <w:r w:rsidRPr="005E645F">
        <w:rPr>
          <w:b/>
          <w:i/>
        </w:rPr>
        <w:t>. Sfântul Chiril al Ierusalimului.Cateheze</w:t>
      </w:r>
      <w:r w:rsidRPr="005E645F">
        <w:t>, Bucureşti, 2003, pg. 356.</w:t>
      </w:r>
    </w:p>
  </w:footnote>
  <w:footnote w:id="29">
    <w:p w:rsidR="00A7733F" w:rsidRDefault="00A7733F" w:rsidP="00A7733F">
      <w:pPr>
        <w:pStyle w:val="FootnoteText"/>
      </w:pPr>
      <w:r>
        <w:rPr>
          <w:rStyle w:val="FootnoteReference"/>
        </w:rPr>
        <w:footnoteRef/>
      </w:r>
      <w:r>
        <w:t xml:space="preserve"> </w:t>
      </w:r>
      <w:r w:rsidRPr="005E645F">
        <w:t>Turcu Ioan Pr. Magistrand</w:t>
      </w:r>
      <w:r>
        <w:t>, op. cit., pg. 320.</w:t>
      </w:r>
    </w:p>
  </w:footnote>
  <w:footnote w:id="30">
    <w:p w:rsidR="00A7733F" w:rsidRDefault="00A7733F" w:rsidP="00A7733F">
      <w:pPr>
        <w:pStyle w:val="FootnoteText"/>
      </w:pPr>
      <w:r>
        <w:rPr>
          <w:rStyle w:val="FootnoteReference"/>
        </w:rPr>
        <w:footnoteRef/>
      </w:r>
      <w:r>
        <w:t xml:space="preserve"> </w:t>
      </w:r>
      <w:r w:rsidRPr="00D76FCD">
        <w:rPr>
          <w:lang w:val="fr-FR"/>
        </w:rPr>
        <w:t>I Cor. 1</w:t>
      </w:r>
      <w:r>
        <w:rPr>
          <w:lang w:val="fr-FR"/>
        </w:rPr>
        <w:t>0,16 ; Ioan 6,3-7, 33-35, 48-58</w:t>
      </w:r>
      <w:r w:rsidRPr="00D76FCD">
        <w:rPr>
          <w:lang w:val="fr-FR"/>
        </w:rPr>
        <w:t>.</w:t>
      </w:r>
    </w:p>
  </w:footnote>
  <w:footnote w:id="31">
    <w:p w:rsidR="00A7733F" w:rsidRPr="00CB3544" w:rsidRDefault="00A7733F" w:rsidP="00A7733F">
      <w:pPr>
        <w:autoSpaceDE w:val="0"/>
        <w:autoSpaceDN w:val="0"/>
        <w:adjustRightInd w:val="0"/>
        <w:rPr>
          <w:b/>
          <w:i/>
          <w:iCs/>
          <w:sz w:val="20"/>
          <w:szCs w:val="20"/>
        </w:rPr>
      </w:pPr>
      <w:r>
        <w:rPr>
          <w:rStyle w:val="FootnoteReference"/>
        </w:rPr>
        <w:footnoteRef/>
      </w:r>
      <w:r w:rsidRPr="00CB3544">
        <w:rPr>
          <w:rFonts w:ascii="BookmanOldStyle-Italic" w:hAnsi="BookmanOldStyle-Italic" w:cs="BookmanOldStyle-Italic"/>
          <w:i/>
          <w:iCs/>
          <w:sz w:val="13"/>
          <w:szCs w:val="13"/>
        </w:rPr>
        <w:t xml:space="preserve"> </w:t>
      </w:r>
      <w:r w:rsidRPr="00F24FFA">
        <w:rPr>
          <w:sz w:val="20"/>
          <w:szCs w:val="20"/>
        </w:rPr>
        <w:t>Coman G.Ioan Pr.Prof</w:t>
      </w:r>
      <w:r w:rsidRPr="00CB3544">
        <w:rPr>
          <w:rFonts w:ascii="BookmanOldStyle" w:hAnsi="BookmanOldStyle" w:cs="BookmanOldStyle"/>
          <w:sz w:val="20"/>
          <w:szCs w:val="20"/>
        </w:rPr>
        <w:t xml:space="preserve">, </w:t>
      </w:r>
      <w:r w:rsidRPr="00CB3544">
        <w:rPr>
          <w:b/>
          <w:i/>
          <w:iCs/>
          <w:sz w:val="20"/>
          <w:szCs w:val="20"/>
        </w:rPr>
        <w:t>Sfânta Euharistie în concepţia vechilor catolici şi poziţia Bisericii</w:t>
      </w:r>
    </w:p>
    <w:p w:rsidR="00A7733F" w:rsidRPr="00CB3544" w:rsidRDefault="00A7733F" w:rsidP="00A7733F">
      <w:pPr>
        <w:autoSpaceDE w:val="0"/>
        <w:autoSpaceDN w:val="0"/>
        <w:adjustRightInd w:val="0"/>
        <w:rPr>
          <w:rFonts w:ascii="BookmanOldStyle" w:hAnsi="BookmanOldStyle" w:cs="BookmanOldStyle"/>
          <w:sz w:val="20"/>
          <w:szCs w:val="20"/>
          <w:lang w:val="en-GB"/>
        </w:rPr>
      </w:pPr>
      <w:r w:rsidRPr="00CB3544">
        <w:rPr>
          <w:b/>
          <w:i/>
          <w:iCs/>
          <w:sz w:val="20"/>
          <w:szCs w:val="20"/>
          <w:lang w:val="en-GB"/>
        </w:rPr>
        <w:t>Ortodoxe in această problemă</w:t>
      </w:r>
      <w:r w:rsidRPr="00CB3544">
        <w:rPr>
          <w:rFonts w:ascii="BookmanOldStyle" w:hAnsi="BookmanOldStyle" w:cs="BookmanOldStyle"/>
          <w:sz w:val="20"/>
          <w:szCs w:val="20"/>
          <w:lang w:val="en-GB"/>
        </w:rPr>
        <w:t xml:space="preserve">, </w:t>
      </w:r>
      <w:r w:rsidRPr="00F24FFA">
        <w:rPr>
          <w:sz w:val="20"/>
          <w:szCs w:val="20"/>
        </w:rPr>
        <w:t>în rev ,,Ortodoxia”,nr</w:t>
      </w:r>
      <w:r>
        <w:rPr>
          <w:rFonts w:ascii="BookmanOldStyle" w:hAnsi="BookmanOldStyle" w:cs="BookmanOldStyle"/>
          <w:sz w:val="20"/>
          <w:szCs w:val="20"/>
          <w:lang w:val="en-GB"/>
        </w:rPr>
        <w:t xml:space="preserve"> 3, </w:t>
      </w:r>
      <w:r w:rsidRPr="00CB3544">
        <w:rPr>
          <w:rFonts w:ascii="BookmanOldStyle" w:hAnsi="BookmanOldStyle" w:cs="BookmanOldStyle"/>
          <w:sz w:val="20"/>
          <w:szCs w:val="20"/>
          <w:lang w:val="en-GB"/>
        </w:rPr>
        <w:t>1967, p</w:t>
      </w:r>
      <w:r>
        <w:rPr>
          <w:rFonts w:ascii="BookmanOldStyle" w:hAnsi="BookmanOldStyle" w:cs="BookmanOldStyle"/>
          <w:sz w:val="20"/>
          <w:szCs w:val="20"/>
          <w:lang w:val="en-GB"/>
        </w:rPr>
        <w:t>g</w:t>
      </w:r>
      <w:r w:rsidRPr="00CB3544">
        <w:rPr>
          <w:rFonts w:ascii="BookmanOldStyle" w:hAnsi="BookmanOldStyle" w:cs="BookmanOldStyle"/>
          <w:sz w:val="20"/>
          <w:szCs w:val="20"/>
          <w:lang w:val="en-GB"/>
        </w:rPr>
        <w:t>. 334</w:t>
      </w:r>
      <w:r>
        <w:rPr>
          <w:rFonts w:ascii="BookmanOldStyle" w:hAnsi="BookmanOldStyle" w:cs="BookmanOldStyle"/>
          <w:sz w:val="20"/>
          <w:szCs w:val="20"/>
          <w:lang w:val="en-GB"/>
        </w:rPr>
        <w:t>.</w:t>
      </w:r>
    </w:p>
    <w:p w:rsidR="00A7733F" w:rsidRPr="00CB3544" w:rsidRDefault="00A7733F" w:rsidP="00A7733F">
      <w:pPr>
        <w:pStyle w:val="FootnoteText"/>
        <w:rPr>
          <w:lang w:val="en-GB"/>
        </w:rPr>
      </w:pPr>
    </w:p>
  </w:footnote>
  <w:footnote w:id="32">
    <w:p w:rsidR="00A7733F" w:rsidRPr="00945F68" w:rsidRDefault="00A7733F" w:rsidP="00A7733F">
      <w:pPr>
        <w:autoSpaceDE w:val="0"/>
        <w:autoSpaceDN w:val="0"/>
        <w:adjustRightInd w:val="0"/>
        <w:jc w:val="both"/>
        <w:rPr>
          <w:sz w:val="20"/>
          <w:szCs w:val="20"/>
          <w:lang w:val="en-GB"/>
        </w:rPr>
      </w:pPr>
      <w:r w:rsidRPr="00945F68">
        <w:rPr>
          <w:rStyle w:val="FootnoteReference"/>
          <w:sz w:val="20"/>
          <w:szCs w:val="20"/>
        </w:rPr>
        <w:footnoteRef/>
      </w:r>
      <w:r w:rsidRPr="00945F68">
        <w:rPr>
          <w:sz w:val="20"/>
          <w:szCs w:val="20"/>
          <w:lang w:val="en-GB"/>
        </w:rPr>
        <w:t xml:space="preserve">Coman </w:t>
      </w:r>
      <w:smartTag w:uri="urn:schemas-microsoft-com:office:smarttags" w:element="Street">
        <w:smartTag w:uri="urn:schemas-microsoft-com:office:smarttags" w:element="address">
          <w:r w:rsidRPr="00945F68">
            <w:rPr>
              <w:sz w:val="20"/>
              <w:szCs w:val="20"/>
              <w:lang w:val="en-GB"/>
            </w:rPr>
            <w:t>Vasile Pr. Dr</w:t>
          </w:r>
        </w:smartTag>
      </w:smartTag>
      <w:r w:rsidRPr="00945F68">
        <w:rPr>
          <w:sz w:val="20"/>
          <w:szCs w:val="20"/>
          <w:lang w:val="en-GB"/>
        </w:rPr>
        <w:t xml:space="preserve">,  </w:t>
      </w:r>
      <w:r w:rsidRPr="00945F68">
        <w:rPr>
          <w:b/>
          <w:i/>
          <w:iCs/>
          <w:sz w:val="20"/>
          <w:szCs w:val="20"/>
          <w:lang w:val="en-GB"/>
        </w:rPr>
        <w:t>Liturghia este jertfa nesângeroasă a Mântuitorului</w:t>
      </w:r>
      <w:r w:rsidRPr="00945F68">
        <w:rPr>
          <w:sz w:val="20"/>
          <w:szCs w:val="20"/>
        </w:rPr>
        <w:t xml:space="preserve"> în rev, ,,Mitropolia </w:t>
      </w:r>
      <w:r w:rsidRPr="00945F68">
        <w:rPr>
          <w:sz w:val="20"/>
          <w:szCs w:val="20"/>
          <w:lang w:val="en-GB"/>
        </w:rPr>
        <w:t>Olteniei,</w:t>
      </w:r>
      <w:r>
        <w:rPr>
          <w:sz w:val="20"/>
          <w:szCs w:val="20"/>
          <w:lang w:val="en-GB"/>
        </w:rPr>
        <w:t>,</w:t>
      </w:r>
      <w:r w:rsidRPr="00945F68">
        <w:rPr>
          <w:sz w:val="20"/>
          <w:szCs w:val="20"/>
          <w:lang w:val="en-GB"/>
        </w:rPr>
        <w:t>nr. 6-8, 1964, pg. 542.</w:t>
      </w:r>
    </w:p>
  </w:footnote>
  <w:footnote w:id="33">
    <w:p w:rsidR="00A7733F" w:rsidRPr="00400728" w:rsidRDefault="00A7733F" w:rsidP="00A7733F">
      <w:pPr>
        <w:autoSpaceDE w:val="0"/>
        <w:autoSpaceDN w:val="0"/>
        <w:adjustRightInd w:val="0"/>
        <w:jc w:val="both"/>
        <w:rPr>
          <w:sz w:val="20"/>
          <w:szCs w:val="20"/>
          <w:lang w:val="en-GB"/>
        </w:rPr>
      </w:pPr>
      <w:r w:rsidRPr="00945F68">
        <w:rPr>
          <w:rStyle w:val="FootnoteReference"/>
          <w:sz w:val="20"/>
          <w:szCs w:val="20"/>
        </w:rPr>
        <w:footnoteRef/>
      </w:r>
      <w:r w:rsidRPr="00400728">
        <w:rPr>
          <w:i/>
          <w:iCs/>
          <w:sz w:val="20"/>
          <w:szCs w:val="20"/>
          <w:lang w:val="en-GB"/>
        </w:rPr>
        <w:t xml:space="preserve"> </w:t>
      </w:r>
      <w:r w:rsidRPr="00400728">
        <w:rPr>
          <w:sz w:val="20"/>
          <w:szCs w:val="20"/>
          <w:lang w:val="en-GB"/>
        </w:rPr>
        <w:t>Idem, pg. 543</w:t>
      </w:r>
    </w:p>
    <w:p w:rsidR="00A7733F" w:rsidRPr="00945F68" w:rsidRDefault="00A7733F" w:rsidP="00A7733F">
      <w:pPr>
        <w:pStyle w:val="FootnoteText"/>
        <w:jc w:val="both"/>
        <w:rPr>
          <w:lang w:val="en-GB"/>
        </w:rPr>
      </w:pPr>
    </w:p>
  </w:footnote>
  <w:footnote w:id="34">
    <w:p w:rsidR="00A7733F" w:rsidRPr="007A3232" w:rsidRDefault="00A7733F" w:rsidP="00A7733F">
      <w:pPr>
        <w:pStyle w:val="FootnoteText"/>
        <w:rPr>
          <w:lang w:val="en-GB"/>
        </w:rPr>
      </w:pPr>
      <w:r w:rsidRPr="007A3232">
        <w:rPr>
          <w:rStyle w:val="FootnoteReference"/>
        </w:rPr>
        <w:footnoteRef/>
      </w:r>
      <w:r w:rsidRPr="00304B3F">
        <w:rPr>
          <w:lang w:val="en-GB"/>
        </w:rPr>
        <w:t>Ganea</w:t>
      </w:r>
      <w:r w:rsidRPr="00304B3F">
        <w:rPr>
          <w:i/>
          <w:iCs/>
          <w:lang w:val="en-GB"/>
        </w:rPr>
        <w:t xml:space="preserve"> </w:t>
      </w:r>
      <w:r>
        <w:rPr>
          <w:lang w:val="en-GB"/>
        </w:rPr>
        <w:t xml:space="preserve"> Ioasaf, Protos,op. cit., pg.69.</w:t>
      </w:r>
    </w:p>
  </w:footnote>
  <w:footnote w:id="35">
    <w:p w:rsidR="00A7733F" w:rsidRPr="00B57505" w:rsidRDefault="00A7733F" w:rsidP="00A7733F">
      <w:pPr>
        <w:autoSpaceDE w:val="0"/>
        <w:autoSpaceDN w:val="0"/>
        <w:adjustRightInd w:val="0"/>
        <w:rPr>
          <w:sz w:val="20"/>
          <w:szCs w:val="20"/>
          <w:lang w:val="en-GB"/>
        </w:rPr>
      </w:pPr>
      <w:r w:rsidRPr="00B57505">
        <w:rPr>
          <w:rStyle w:val="FootnoteReference"/>
          <w:sz w:val="20"/>
          <w:szCs w:val="20"/>
        </w:rPr>
        <w:footnoteRef/>
      </w:r>
      <w:r w:rsidRPr="00B57505">
        <w:rPr>
          <w:i/>
          <w:iCs/>
          <w:sz w:val="20"/>
          <w:szCs w:val="20"/>
          <w:lang w:val="en-GB"/>
        </w:rPr>
        <w:t xml:space="preserve"> </w:t>
      </w:r>
      <w:r w:rsidRPr="00B57505">
        <w:rPr>
          <w:sz w:val="20"/>
          <w:szCs w:val="20"/>
          <w:lang w:val="en-GB"/>
        </w:rPr>
        <w:t xml:space="preserve">Stăniloae D. Pr. Prof., </w:t>
      </w:r>
      <w:r w:rsidRPr="00B57505">
        <w:rPr>
          <w:b/>
          <w:i/>
          <w:iCs/>
          <w:sz w:val="20"/>
          <w:szCs w:val="20"/>
          <w:lang w:val="en-GB"/>
        </w:rPr>
        <w:t>Legătura între Euharistie şi iubirea creştină</w:t>
      </w:r>
      <w:r w:rsidRPr="00B57505">
        <w:rPr>
          <w:i/>
          <w:iCs/>
          <w:sz w:val="20"/>
          <w:szCs w:val="20"/>
          <w:lang w:val="en-GB"/>
        </w:rPr>
        <w:t xml:space="preserve">, </w:t>
      </w:r>
      <w:r w:rsidRPr="00B57505">
        <w:rPr>
          <w:sz w:val="20"/>
          <w:szCs w:val="20"/>
        </w:rPr>
        <w:t>în rev,,Studii Teologice” nr</w:t>
      </w:r>
      <w:r w:rsidRPr="00B57505">
        <w:rPr>
          <w:sz w:val="20"/>
          <w:szCs w:val="20"/>
          <w:lang w:val="en-GB"/>
        </w:rPr>
        <w:t xml:space="preserve"> 1-2, 1965, pg. 21</w:t>
      </w:r>
    </w:p>
  </w:footnote>
  <w:footnote w:id="36">
    <w:p w:rsidR="00A7733F" w:rsidRPr="00B57505" w:rsidRDefault="00A7733F" w:rsidP="00A7733F">
      <w:pPr>
        <w:autoSpaceDE w:val="0"/>
        <w:autoSpaceDN w:val="0"/>
        <w:adjustRightInd w:val="0"/>
        <w:rPr>
          <w:sz w:val="20"/>
          <w:szCs w:val="20"/>
          <w:lang w:val="en-GB"/>
        </w:rPr>
      </w:pPr>
      <w:r w:rsidRPr="00B57505">
        <w:rPr>
          <w:rStyle w:val="FootnoteReference"/>
          <w:sz w:val="20"/>
          <w:szCs w:val="20"/>
        </w:rPr>
        <w:footnoteRef/>
      </w:r>
      <w:r w:rsidRPr="00B57505">
        <w:rPr>
          <w:sz w:val="20"/>
          <w:szCs w:val="20"/>
          <w:lang w:val="en-GB"/>
        </w:rPr>
        <w:t>Todoran Simion,</w:t>
      </w:r>
      <w:r w:rsidRPr="00B57505">
        <w:rPr>
          <w:i/>
          <w:iCs/>
          <w:sz w:val="20"/>
          <w:szCs w:val="20"/>
          <w:lang w:val="en-GB"/>
        </w:rPr>
        <w:t xml:space="preserve"> </w:t>
      </w:r>
      <w:r w:rsidRPr="00B57505">
        <w:rPr>
          <w:sz w:val="20"/>
          <w:szCs w:val="20"/>
          <w:lang w:val="en-GB"/>
        </w:rPr>
        <w:t>Drd,</w:t>
      </w:r>
      <w:r>
        <w:rPr>
          <w:sz w:val="20"/>
          <w:szCs w:val="20"/>
          <w:lang w:val="en-GB"/>
        </w:rPr>
        <w:t xml:space="preserve"> op. cit.,</w:t>
      </w:r>
      <w:r w:rsidRPr="00B57505">
        <w:rPr>
          <w:sz w:val="20"/>
          <w:szCs w:val="20"/>
          <w:lang w:val="en-GB"/>
        </w:rPr>
        <w:t xml:space="preserve"> pg. 843.</w:t>
      </w:r>
    </w:p>
  </w:footnote>
  <w:footnote w:id="37">
    <w:p w:rsidR="00A7733F" w:rsidRDefault="00A7733F" w:rsidP="00A7733F">
      <w:pPr>
        <w:pStyle w:val="FootnoteText"/>
      </w:pPr>
      <w:r>
        <w:rPr>
          <w:rStyle w:val="FootnoteReference"/>
        </w:rPr>
        <w:footnoteRef/>
      </w:r>
      <w:r>
        <w:t xml:space="preserve"> </w:t>
      </w:r>
      <w:r>
        <w:rPr>
          <w:lang w:val="fr-FR"/>
        </w:rPr>
        <w:t>Efeseni 5, 20</w:t>
      </w:r>
      <w:r w:rsidRPr="00D76FCD">
        <w:rPr>
          <w:lang w:val="fr-FR"/>
        </w:rPr>
        <w:t>.</w:t>
      </w:r>
    </w:p>
  </w:footnote>
  <w:footnote w:id="38">
    <w:p w:rsidR="00A7733F" w:rsidRPr="00B57505" w:rsidRDefault="00A7733F" w:rsidP="00A7733F">
      <w:pPr>
        <w:autoSpaceDE w:val="0"/>
        <w:autoSpaceDN w:val="0"/>
        <w:adjustRightInd w:val="0"/>
        <w:rPr>
          <w:sz w:val="20"/>
          <w:szCs w:val="20"/>
          <w:lang w:val="en-GB"/>
        </w:rPr>
      </w:pPr>
      <w:r w:rsidRPr="00B57505">
        <w:rPr>
          <w:rStyle w:val="FootnoteReference"/>
          <w:sz w:val="20"/>
          <w:szCs w:val="20"/>
        </w:rPr>
        <w:footnoteRef/>
      </w:r>
      <w:r w:rsidRPr="00B57505">
        <w:rPr>
          <w:sz w:val="20"/>
          <w:szCs w:val="20"/>
        </w:rPr>
        <w:t xml:space="preserve"> Coman G.Ioan Pr.Prof</w:t>
      </w:r>
      <w:r w:rsidRPr="00B57505">
        <w:rPr>
          <w:sz w:val="20"/>
          <w:szCs w:val="20"/>
          <w:lang w:val="en-GB"/>
        </w:rPr>
        <w:t xml:space="preserve">, </w:t>
      </w:r>
      <w:r w:rsidRPr="00B57505">
        <w:rPr>
          <w:b/>
          <w:i/>
          <w:sz w:val="20"/>
          <w:szCs w:val="20"/>
          <w:lang w:val="en-GB"/>
        </w:rPr>
        <w:t>Sensul ecumenic al Sfintei Euharistii la Sf, Ioan Gură de Aur</w:t>
      </w:r>
      <w:r w:rsidRPr="00B57505">
        <w:rPr>
          <w:sz w:val="20"/>
          <w:szCs w:val="20"/>
          <w:lang w:val="en-GB"/>
        </w:rPr>
        <w:t>, pg. 525.</w:t>
      </w:r>
    </w:p>
  </w:footnote>
  <w:footnote w:id="39">
    <w:p w:rsidR="00A7733F" w:rsidRPr="00304B3F" w:rsidRDefault="00A7733F" w:rsidP="00A7733F">
      <w:pPr>
        <w:pStyle w:val="FootnoteText"/>
        <w:rPr>
          <w:lang w:val="en-GB"/>
        </w:rPr>
      </w:pPr>
      <w:r w:rsidRPr="00304B3F">
        <w:rPr>
          <w:rStyle w:val="FootnoteReference"/>
        </w:rPr>
        <w:footnoteRef/>
      </w:r>
      <w:r w:rsidRPr="00304B3F">
        <w:t xml:space="preserve"> </w:t>
      </w:r>
      <w:r w:rsidRPr="00304B3F">
        <w:rPr>
          <w:lang w:val="en-GB"/>
        </w:rPr>
        <w:t>Ganea</w:t>
      </w:r>
      <w:r w:rsidRPr="00304B3F">
        <w:rPr>
          <w:i/>
          <w:iCs/>
          <w:lang w:val="en-GB"/>
        </w:rPr>
        <w:t xml:space="preserve"> </w:t>
      </w:r>
      <w:r w:rsidRPr="00304B3F">
        <w:rPr>
          <w:lang w:val="en-GB"/>
        </w:rPr>
        <w:t xml:space="preserve"> Ioasaf, Protos,op. cit., pg.70.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A7733F"/>
    <w:rsid w:val="0005713F"/>
    <w:rsid w:val="00275413"/>
    <w:rsid w:val="005566C5"/>
    <w:rsid w:val="008C575C"/>
    <w:rsid w:val="00A7733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3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7733F"/>
    <w:rPr>
      <w:sz w:val="20"/>
      <w:szCs w:val="20"/>
    </w:rPr>
  </w:style>
  <w:style w:type="character" w:customStyle="1" w:styleId="FootnoteTextChar">
    <w:name w:val="Footnote Text Char"/>
    <w:basedOn w:val="DefaultParagraphFont"/>
    <w:link w:val="FootnoteText"/>
    <w:semiHidden/>
    <w:rsid w:val="00A7733F"/>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A7733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3231</Words>
  <Characters>18741</Characters>
  <Application>Microsoft Office Word</Application>
  <DocSecurity>0</DocSecurity>
  <Lines>156</Lines>
  <Paragraphs>43</Paragraphs>
  <ScaleCrop>false</ScaleCrop>
  <Company/>
  <LinksUpToDate>false</LinksUpToDate>
  <CharactersWithSpaces>21929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2</cp:revision>
  <dcterms:created xsi:type="dcterms:W3CDTF">2023-03-06T09:18:00Z</dcterms:created>
  <dcterms:modified xsi:type="dcterms:W3CDTF">2023-03-06T09:21:00Z</dcterms:modified>
</cp:coreProperties>
</file>